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1A" w:rsidRDefault="00BC0F7A" w:rsidP="00550E1A">
      <w:pPr>
        <w:spacing w:after="0" w:line="240" w:lineRule="auto"/>
        <w:rPr>
          <w:color w:val="000000" w:themeColor="text1"/>
          <w:szCs w:val="24"/>
        </w:rPr>
      </w:pPr>
      <w:r>
        <w:rPr>
          <w:b/>
          <w:color w:val="000000" w:themeColor="text1"/>
          <w:szCs w:val="24"/>
          <w:u w:val="single"/>
        </w:rPr>
        <w:t>Hazine Müsteşarlığından:</w:t>
      </w:r>
      <w:r>
        <w:rPr>
          <w:color w:val="000000" w:themeColor="text1"/>
          <w:szCs w:val="24"/>
        </w:rPr>
        <w:t xml:space="preserve">     </w:t>
      </w:r>
      <w:r w:rsidR="00140645">
        <w:rPr>
          <w:color w:val="000000" w:themeColor="text1"/>
          <w:szCs w:val="24"/>
        </w:rPr>
        <w:t xml:space="preserve">                                          </w:t>
      </w:r>
      <w:r w:rsidR="009D0AB2">
        <w:rPr>
          <w:color w:val="000000" w:themeColor="text1"/>
          <w:szCs w:val="24"/>
        </w:rPr>
        <w:t xml:space="preserve">                         </w:t>
      </w:r>
      <w:r w:rsidR="002C6EBE">
        <w:rPr>
          <w:color w:val="000000" w:themeColor="text1"/>
          <w:szCs w:val="24"/>
        </w:rPr>
        <w:t xml:space="preserve">       </w:t>
      </w:r>
      <w:r w:rsidR="009D0AB2">
        <w:rPr>
          <w:color w:val="000000" w:themeColor="text1"/>
          <w:szCs w:val="24"/>
        </w:rPr>
        <w:t xml:space="preserve">      </w:t>
      </w:r>
      <w:proofErr w:type="gramStart"/>
      <w:r w:rsidR="009D0AB2">
        <w:rPr>
          <w:color w:val="000000" w:themeColor="text1"/>
          <w:szCs w:val="24"/>
        </w:rPr>
        <w:t>6/</w:t>
      </w:r>
      <w:r w:rsidR="00140645">
        <w:rPr>
          <w:color w:val="000000" w:themeColor="text1"/>
          <w:szCs w:val="24"/>
        </w:rPr>
        <w:t>6/2014</w:t>
      </w:r>
      <w:proofErr w:type="gramEnd"/>
      <w:r>
        <w:rPr>
          <w:color w:val="000000" w:themeColor="text1"/>
          <w:szCs w:val="24"/>
        </w:rPr>
        <w:t xml:space="preserve">              </w:t>
      </w:r>
    </w:p>
    <w:p w:rsidR="00DB2B40" w:rsidRDefault="00DB2B40" w:rsidP="00550E1A">
      <w:pPr>
        <w:spacing w:after="0" w:line="240" w:lineRule="auto"/>
        <w:rPr>
          <w:b/>
          <w:u w:val="single"/>
        </w:rPr>
      </w:pPr>
    </w:p>
    <w:p w:rsidR="00550E1A" w:rsidRDefault="00550E1A" w:rsidP="00DB2B40">
      <w:pPr>
        <w:spacing w:after="0"/>
      </w:pPr>
    </w:p>
    <w:p w:rsidR="000D68E6" w:rsidRDefault="000D68E6" w:rsidP="00DB2B40">
      <w:pPr>
        <w:spacing w:after="0"/>
      </w:pPr>
    </w:p>
    <w:p w:rsidR="00DB2B40" w:rsidRDefault="00DB2B40" w:rsidP="00DB2B40">
      <w:pPr>
        <w:spacing w:after="0"/>
        <w:jc w:val="center"/>
      </w:pPr>
      <w:r>
        <w:t xml:space="preserve">İKAMET İZNİ TALEPLERİNDE YAPTIRILACAK </w:t>
      </w:r>
    </w:p>
    <w:p w:rsidR="00BC0F7A" w:rsidRDefault="00DB2B40" w:rsidP="00DB2B40">
      <w:pPr>
        <w:spacing w:after="0"/>
        <w:jc w:val="center"/>
      </w:pPr>
      <w:r>
        <w:t>ÖZEL SAĞLIK SİGORTALARINA İLİŞKİN GENELGE</w:t>
      </w:r>
    </w:p>
    <w:p w:rsidR="00DB2B40" w:rsidRDefault="005706CE" w:rsidP="00140645">
      <w:pPr>
        <w:tabs>
          <w:tab w:val="left" w:pos="2865"/>
        </w:tabs>
        <w:spacing w:after="0"/>
        <w:jc w:val="center"/>
      </w:pPr>
      <w:r>
        <w:t>(</w:t>
      </w:r>
      <w:r w:rsidR="00140645">
        <w:t>2014</w:t>
      </w:r>
      <w:r>
        <w:t>/9</w:t>
      </w:r>
      <w:r w:rsidR="00140645">
        <w:t>)</w:t>
      </w:r>
    </w:p>
    <w:p w:rsidR="00DB2B40" w:rsidRDefault="00DB2B40" w:rsidP="00DB2B40">
      <w:pPr>
        <w:spacing w:after="0"/>
        <w:jc w:val="both"/>
      </w:pPr>
    </w:p>
    <w:p w:rsidR="00BC0F7A" w:rsidRDefault="00BC0F7A" w:rsidP="00DB2B40">
      <w:pPr>
        <w:spacing w:after="0"/>
        <w:jc w:val="both"/>
      </w:pPr>
      <w:proofErr w:type="gramStart"/>
      <w:r w:rsidRPr="00154575">
        <w:t>4/4/2013</w:t>
      </w:r>
      <w:proofErr w:type="gramEnd"/>
      <w:r>
        <w:t xml:space="preserve"> tarihli ve </w:t>
      </w:r>
      <w:r w:rsidRPr="00154575">
        <w:t>28615</w:t>
      </w:r>
      <w:r>
        <w:t xml:space="preserve"> sayılı Resmi </w:t>
      </w:r>
      <w:proofErr w:type="spellStart"/>
      <w:r>
        <w:t>Gazete</w:t>
      </w:r>
      <w:r w:rsidR="00DB2B40">
        <w:t>’</w:t>
      </w:r>
      <w:r>
        <w:t>de</w:t>
      </w:r>
      <w:proofErr w:type="spellEnd"/>
      <w:r>
        <w:t xml:space="preserve"> yayınlanan </w:t>
      </w:r>
      <w:r w:rsidRPr="00D310CE">
        <w:t>6458 Sayılı Yabancılar ve Uluslararası Koruma Kanunu</w:t>
      </w:r>
      <w:r>
        <w:t xml:space="preserve"> </w:t>
      </w:r>
      <w:r w:rsidR="00DB2B40">
        <w:t xml:space="preserve">(Kanun) </w:t>
      </w:r>
      <w:r>
        <w:t xml:space="preserve">gereğince </w:t>
      </w:r>
      <w:r w:rsidR="006C10E5">
        <w:t xml:space="preserve">kısa dönem </w:t>
      </w:r>
      <w:r w:rsidR="00DB2B40">
        <w:t xml:space="preserve">ikamet izni başvurularında </w:t>
      </w:r>
      <w:r>
        <w:t xml:space="preserve">yaptırılması gereken özel sağlık sigortası </w:t>
      </w:r>
      <w:r w:rsidRPr="00E679B4">
        <w:t>sözleşmelerinde aşağıd</w:t>
      </w:r>
      <w:bookmarkStart w:id="0" w:name="_GoBack"/>
      <w:bookmarkEnd w:id="0"/>
      <w:r w:rsidRPr="00E679B4">
        <w:t>aki hususlara dikkat edilmesi gerekmektedir.</w:t>
      </w:r>
    </w:p>
    <w:p w:rsidR="00DB2B40" w:rsidRPr="00E679B4" w:rsidRDefault="00DB2B40" w:rsidP="00DB2B40">
      <w:pPr>
        <w:spacing w:after="0"/>
        <w:ind w:firstLine="708"/>
        <w:jc w:val="both"/>
      </w:pPr>
    </w:p>
    <w:p w:rsidR="00BC0F7A" w:rsidRDefault="00E679B4" w:rsidP="00DB2B40">
      <w:pPr>
        <w:spacing w:after="0"/>
        <w:jc w:val="both"/>
      </w:pPr>
      <w:r w:rsidRPr="00A314F7">
        <w:rPr>
          <w:b/>
        </w:rPr>
        <w:t>Madde 1</w:t>
      </w:r>
      <w:r w:rsidR="00DB2B40" w:rsidRPr="00A314F7">
        <w:rPr>
          <w:b/>
        </w:rPr>
        <w:t>-</w:t>
      </w:r>
      <w:r>
        <w:t xml:space="preserve"> </w:t>
      </w:r>
      <w:r w:rsidR="008125F6">
        <w:t xml:space="preserve">(1) </w:t>
      </w:r>
      <w:r w:rsidR="00BC0F7A">
        <w:t xml:space="preserve">Kanun kapsamında alınacak </w:t>
      </w:r>
      <w:r w:rsidR="006C10E5">
        <w:t xml:space="preserve">kısa dönem </w:t>
      </w:r>
      <w:r w:rsidR="00BC0F7A">
        <w:t xml:space="preserve">ikamet izinlerinde </w:t>
      </w:r>
      <w:r w:rsidR="006C10E5">
        <w:t xml:space="preserve">yaptırılacak olan yıllık </w:t>
      </w:r>
      <w:r w:rsidR="00BC0F7A">
        <w:t>özel sağlık sigortası</w:t>
      </w:r>
      <w:r w:rsidR="006C10E5">
        <w:t xml:space="preserve">nın </w:t>
      </w:r>
      <w:r w:rsidR="00BC0F7A">
        <w:t>asgari aşağıdaki koşulları içermesi gerekmektedir</w:t>
      </w:r>
      <w:r w:rsidR="006C10E5">
        <w:t>:</w:t>
      </w:r>
    </w:p>
    <w:p w:rsidR="001870C4" w:rsidRPr="001E4B6F" w:rsidRDefault="001870C4" w:rsidP="001870C4">
      <w:pPr>
        <w:spacing w:after="0"/>
        <w:ind w:firstLine="708"/>
        <w:rPr>
          <w:b/>
          <w:i/>
        </w:rPr>
      </w:pPr>
    </w:p>
    <w:p w:rsidR="00F41516" w:rsidRPr="001870C4" w:rsidRDefault="001870C4" w:rsidP="001870C4">
      <w:pPr>
        <w:spacing w:after="0"/>
        <w:rPr>
          <w:b/>
          <w:i/>
        </w:rPr>
      </w:pPr>
      <w:r w:rsidRPr="001E4B6F">
        <w:rPr>
          <w:b/>
          <w:i/>
        </w:rPr>
        <w:t>Asgari Poliçe İçeriği</w:t>
      </w:r>
    </w:p>
    <w:tbl>
      <w:tblPr>
        <w:tblStyle w:val="TableGrid"/>
        <w:tblW w:w="0" w:type="auto"/>
        <w:tblLook w:val="04A0" w:firstRow="1" w:lastRow="0" w:firstColumn="1" w:lastColumn="0" w:noHBand="0" w:noVBand="1"/>
      </w:tblPr>
      <w:tblGrid>
        <w:gridCol w:w="1951"/>
        <w:gridCol w:w="1701"/>
        <w:gridCol w:w="1985"/>
        <w:gridCol w:w="1645"/>
        <w:gridCol w:w="1930"/>
      </w:tblGrid>
      <w:tr w:rsidR="00F41516" w:rsidTr="006E30C5">
        <w:trPr>
          <w:trHeight w:val="910"/>
        </w:trPr>
        <w:tc>
          <w:tcPr>
            <w:tcW w:w="1951" w:type="dxa"/>
            <w:vMerge w:val="restart"/>
          </w:tcPr>
          <w:p w:rsidR="00F41516" w:rsidRDefault="00F41516" w:rsidP="00F41516">
            <w:pPr>
              <w:jc w:val="center"/>
            </w:pPr>
          </w:p>
        </w:tc>
        <w:tc>
          <w:tcPr>
            <w:tcW w:w="3686" w:type="dxa"/>
            <w:gridSpan w:val="2"/>
          </w:tcPr>
          <w:p w:rsidR="00F41516" w:rsidRDefault="00F41516" w:rsidP="00F41516">
            <w:pPr>
              <w:jc w:val="center"/>
              <w:rPr>
                <w:b/>
                <w:szCs w:val="24"/>
              </w:rPr>
            </w:pPr>
          </w:p>
          <w:p w:rsidR="00F41516" w:rsidRDefault="00F41516" w:rsidP="00F41516">
            <w:pPr>
              <w:jc w:val="center"/>
              <w:rPr>
                <w:b/>
                <w:szCs w:val="24"/>
              </w:rPr>
            </w:pPr>
          </w:p>
          <w:p w:rsidR="00F41516" w:rsidRDefault="00F41516" w:rsidP="00F41516">
            <w:pPr>
              <w:jc w:val="center"/>
            </w:pPr>
            <w:r w:rsidRPr="001E4B6F">
              <w:rPr>
                <w:b/>
                <w:szCs w:val="24"/>
              </w:rPr>
              <w:t>Anlaşmalı</w:t>
            </w:r>
          </w:p>
        </w:tc>
        <w:tc>
          <w:tcPr>
            <w:tcW w:w="3575" w:type="dxa"/>
            <w:gridSpan w:val="2"/>
          </w:tcPr>
          <w:p w:rsidR="00F41516" w:rsidRDefault="00F41516" w:rsidP="00F41516">
            <w:pPr>
              <w:jc w:val="center"/>
              <w:rPr>
                <w:b/>
              </w:rPr>
            </w:pPr>
          </w:p>
          <w:p w:rsidR="00F41516" w:rsidRDefault="00F41516" w:rsidP="00F41516">
            <w:pPr>
              <w:jc w:val="center"/>
              <w:rPr>
                <w:b/>
              </w:rPr>
            </w:pPr>
          </w:p>
          <w:p w:rsidR="00F41516" w:rsidRDefault="00F41516" w:rsidP="00F41516">
            <w:pPr>
              <w:jc w:val="center"/>
              <w:rPr>
                <w:b/>
              </w:rPr>
            </w:pPr>
            <w:r w:rsidRPr="001E4B6F">
              <w:rPr>
                <w:b/>
              </w:rPr>
              <w:t>Anlaşmasız</w:t>
            </w:r>
          </w:p>
          <w:p w:rsidR="00F41516" w:rsidRDefault="00F41516" w:rsidP="00F41516">
            <w:pPr>
              <w:jc w:val="center"/>
              <w:rPr>
                <w:b/>
              </w:rPr>
            </w:pPr>
          </w:p>
          <w:p w:rsidR="00F41516" w:rsidRDefault="00F41516" w:rsidP="00F41516">
            <w:pPr>
              <w:jc w:val="center"/>
            </w:pPr>
          </w:p>
        </w:tc>
      </w:tr>
      <w:tr w:rsidR="00F41516" w:rsidTr="006E30C5">
        <w:trPr>
          <w:trHeight w:val="945"/>
        </w:trPr>
        <w:tc>
          <w:tcPr>
            <w:tcW w:w="1951" w:type="dxa"/>
            <w:vMerge/>
          </w:tcPr>
          <w:p w:rsidR="00F41516" w:rsidRDefault="00F41516" w:rsidP="00DB2B40">
            <w:pPr>
              <w:jc w:val="both"/>
            </w:pPr>
          </w:p>
        </w:tc>
        <w:tc>
          <w:tcPr>
            <w:tcW w:w="1701" w:type="dxa"/>
          </w:tcPr>
          <w:p w:rsidR="001870C4" w:rsidRDefault="001870C4" w:rsidP="00F41516">
            <w:pPr>
              <w:jc w:val="center"/>
              <w:rPr>
                <w:b/>
                <w:sz w:val="22"/>
              </w:rPr>
            </w:pPr>
          </w:p>
          <w:p w:rsidR="00F41516" w:rsidRDefault="00F41516" w:rsidP="00F41516">
            <w:pPr>
              <w:jc w:val="center"/>
            </w:pPr>
            <w:r>
              <w:rPr>
                <w:b/>
                <w:sz w:val="22"/>
              </w:rPr>
              <w:t xml:space="preserve">Yıllık Asgari </w:t>
            </w:r>
            <w:r w:rsidRPr="001E4B6F">
              <w:rPr>
                <w:b/>
                <w:sz w:val="22"/>
              </w:rPr>
              <w:t>Limit</w:t>
            </w:r>
          </w:p>
        </w:tc>
        <w:tc>
          <w:tcPr>
            <w:tcW w:w="1985" w:type="dxa"/>
          </w:tcPr>
          <w:p w:rsidR="006E30C5" w:rsidRDefault="006E30C5" w:rsidP="006E30C5">
            <w:pPr>
              <w:rPr>
                <w:b/>
              </w:rPr>
            </w:pPr>
          </w:p>
          <w:p w:rsidR="002C6EBE" w:rsidRDefault="006E30C5" w:rsidP="002C6EBE">
            <w:pPr>
              <w:jc w:val="center"/>
              <w:rPr>
                <w:b/>
              </w:rPr>
            </w:pPr>
            <w:r>
              <w:rPr>
                <w:b/>
              </w:rPr>
              <w:t xml:space="preserve">Katılım </w:t>
            </w:r>
            <w:r w:rsidR="00F41516" w:rsidRPr="00F41516">
              <w:rPr>
                <w:b/>
              </w:rPr>
              <w:t>Pay</w:t>
            </w:r>
            <w:r w:rsidR="00D2683C">
              <w:rPr>
                <w:b/>
              </w:rPr>
              <w:t>ları</w:t>
            </w:r>
          </w:p>
          <w:p w:rsidR="00F41516" w:rsidRPr="00F41516" w:rsidRDefault="00F41516" w:rsidP="002C6EBE">
            <w:pPr>
              <w:jc w:val="center"/>
              <w:rPr>
                <w:b/>
              </w:rPr>
            </w:pPr>
          </w:p>
        </w:tc>
        <w:tc>
          <w:tcPr>
            <w:tcW w:w="1645" w:type="dxa"/>
          </w:tcPr>
          <w:p w:rsidR="001870C4" w:rsidRDefault="001870C4" w:rsidP="00F41516">
            <w:pPr>
              <w:jc w:val="center"/>
              <w:rPr>
                <w:b/>
                <w:sz w:val="22"/>
              </w:rPr>
            </w:pPr>
          </w:p>
          <w:p w:rsidR="00F41516" w:rsidRDefault="00F41516" w:rsidP="00F41516">
            <w:pPr>
              <w:jc w:val="center"/>
            </w:pPr>
            <w:r>
              <w:rPr>
                <w:b/>
                <w:sz w:val="22"/>
              </w:rPr>
              <w:t xml:space="preserve">Yıllık Asgari </w:t>
            </w:r>
            <w:r w:rsidRPr="001E4B6F">
              <w:rPr>
                <w:b/>
                <w:sz w:val="22"/>
              </w:rPr>
              <w:t>Limit</w:t>
            </w:r>
          </w:p>
        </w:tc>
        <w:tc>
          <w:tcPr>
            <w:tcW w:w="1930" w:type="dxa"/>
          </w:tcPr>
          <w:p w:rsidR="001870C4" w:rsidRDefault="001870C4" w:rsidP="00F41516">
            <w:pPr>
              <w:jc w:val="center"/>
              <w:rPr>
                <w:b/>
              </w:rPr>
            </w:pPr>
          </w:p>
          <w:p w:rsidR="002C6EBE" w:rsidRDefault="002C6EBE" w:rsidP="002C6EBE">
            <w:pPr>
              <w:jc w:val="center"/>
              <w:rPr>
                <w:b/>
              </w:rPr>
            </w:pPr>
            <w:r>
              <w:rPr>
                <w:b/>
              </w:rPr>
              <w:t xml:space="preserve">Katılım </w:t>
            </w:r>
            <w:r w:rsidRPr="00F41516">
              <w:rPr>
                <w:b/>
              </w:rPr>
              <w:t>Pay</w:t>
            </w:r>
            <w:r w:rsidR="00D2683C">
              <w:rPr>
                <w:b/>
              </w:rPr>
              <w:t>ları</w:t>
            </w:r>
          </w:p>
          <w:p w:rsidR="00F41516" w:rsidRDefault="00F41516" w:rsidP="002C6EBE">
            <w:pPr>
              <w:jc w:val="center"/>
            </w:pPr>
          </w:p>
        </w:tc>
      </w:tr>
      <w:tr w:rsidR="00F41516" w:rsidTr="006E30C5">
        <w:trPr>
          <w:trHeight w:val="1257"/>
        </w:trPr>
        <w:tc>
          <w:tcPr>
            <w:tcW w:w="1951" w:type="dxa"/>
          </w:tcPr>
          <w:p w:rsidR="001870C4" w:rsidRDefault="001870C4" w:rsidP="001870C4">
            <w:pPr>
              <w:jc w:val="center"/>
              <w:rPr>
                <w:b/>
              </w:rPr>
            </w:pPr>
          </w:p>
          <w:p w:rsidR="001870C4" w:rsidRDefault="001870C4" w:rsidP="001870C4">
            <w:pPr>
              <w:jc w:val="center"/>
              <w:rPr>
                <w:b/>
              </w:rPr>
            </w:pPr>
          </w:p>
          <w:p w:rsidR="00F41516" w:rsidRDefault="00F41516" w:rsidP="001870C4">
            <w:pPr>
              <w:jc w:val="center"/>
            </w:pPr>
            <w:r w:rsidRPr="001E4B6F">
              <w:rPr>
                <w:b/>
              </w:rPr>
              <w:t>Ayakta Tedavi</w:t>
            </w:r>
          </w:p>
        </w:tc>
        <w:tc>
          <w:tcPr>
            <w:tcW w:w="1701" w:type="dxa"/>
          </w:tcPr>
          <w:p w:rsidR="001870C4" w:rsidRDefault="001870C4" w:rsidP="001870C4">
            <w:pPr>
              <w:jc w:val="center"/>
            </w:pPr>
          </w:p>
          <w:p w:rsidR="001870C4" w:rsidRDefault="001870C4" w:rsidP="001870C4">
            <w:pPr>
              <w:jc w:val="center"/>
            </w:pPr>
          </w:p>
          <w:p w:rsidR="00F41516" w:rsidRDefault="00F41516" w:rsidP="001870C4">
            <w:pPr>
              <w:jc w:val="center"/>
            </w:pPr>
            <w:r>
              <w:t>2.000. -TL</w:t>
            </w:r>
          </w:p>
        </w:tc>
        <w:tc>
          <w:tcPr>
            <w:tcW w:w="1985" w:type="dxa"/>
          </w:tcPr>
          <w:p w:rsidR="00F41516" w:rsidRDefault="00F41516" w:rsidP="001870C4">
            <w:pPr>
              <w:jc w:val="center"/>
            </w:pPr>
          </w:p>
          <w:p w:rsidR="002C6EBE" w:rsidRDefault="00DE059A" w:rsidP="002C6EBE">
            <w:pPr>
              <w:ind w:firstLine="34"/>
            </w:pPr>
            <w:r>
              <w:t>Sigortalı : % 4</w:t>
            </w:r>
            <w:r w:rsidR="002C6EBE">
              <w:t xml:space="preserve">0  </w:t>
            </w:r>
          </w:p>
          <w:p w:rsidR="002C6EBE" w:rsidRDefault="00DE059A" w:rsidP="002C6EBE">
            <w:pPr>
              <w:ind w:firstLine="34"/>
            </w:pPr>
            <w:r>
              <w:t>Şirket     : % 6</w:t>
            </w:r>
            <w:r w:rsidR="002C6EBE">
              <w:t>0</w:t>
            </w:r>
          </w:p>
          <w:p w:rsidR="002C6EBE" w:rsidRDefault="002C6EBE" w:rsidP="002C6EBE">
            <w:pPr>
              <w:ind w:firstLine="34"/>
              <w:jc w:val="center"/>
            </w:pPr>
          </w:p>
          <w:p w:rsidR="001870C4" w:rsidRDefault="001870C4" w:rsidP="008E079B">
            <w:pPr>
              <w:pStyle w:val="ListParagraph"/>
            </w:pPr>
          </w:p>
        </w:tc>
        <w:tc>
          <w:tcPr>
            <w:tcW w:w="1645" w:type="dxa"/>
          </w:tcPr>
          <w:p w:rsidR="001870C4" w:rsidRDefault="001870C4" w:rsidP="001870C4">
            <w:pPr>
              <w:jc w:val="center"/>
            </w:pPr>
          </w:p>
          <w:p w:rsidR="001870C4" w:rsidRDefault="001870C4" w:rsidP="001870C4">
            <w:pPr>
              <w:jc w:val="center"/>
            </w:pPr>
          </w:p>
          <w:p w:rsidR="00F41516" w:rsidRDefault="00F41516" w:rsidP="001870C4">
            <w:pPr>
              <w:jc w:val="center"/>
            </w:pPr>
            <w:r>
              <w:t>2.000.-TL</w:t>
            </w:r>
          </w:p>
        </w:tc>
        <w:tc>
          <w:tcPr>
            <w:tcW w:w="1930" w:type="dxa"/>
          </w:tcPr>
          <w:p w:rsidR="002C6EBE" w:rsidRDefault="002C6EBE" w:rsidP="002C6EBE"/>
          <w:p w:rsidR="002C6EBE" w:rsidRDefault="00DE059A" w:rsidP="002C6EBE">
            <w:r>
              <w:t>Sigortalı : % 4</w:t>
            </w:r>
            <w:r w:rsidR="002C6EBE">
              <w:t xml:space="preserve">0  </w:t>
            </w:r>
          </w:p>
          <w:p w:rsidR="00F41516" w:rsidRDefault="00DE059A" w:rsidP="002C6EBE">
            <w:r>
              <w:t>Şirket     : % 6</w:t>
            </w:r>
            <w:r w:rsidR="002C6EBE">
              <w:t>0</w:t>
            </w:r>
          </w:p>
          <w:p w:rsidR="001870C4" w:rsidRDefault="001870C4" w:rsidP="001870C4">
            <w:pPr>
              <w:jc w:val="center"/>
            </w:pPr>
          </w:p>
          <w:p w:rsidR="001870C4" w:rsidRDefault="001870C4" w:rsidP="008E079B">
            <w:pPr>
              <w:pStyle w:val="ListParagraph"/>
            </w:pPr>
          </w:p>
        </w:tc>
      </w:tr>
      <w:tr w:rsidR="00F41516" w:rsidTr="006E30C5">
        <w:trPr>
          <w:trHeight w:val="1274"/>
        </w:trPr>
        <w:tc>
          <w:tcPr>
            <w:tcW w:w="1951" w:type="dxa"/>
          </w:tcPr>
          <w:p w:rsidR="00F41516" w:rsidRPr="001E4B6F" w:rsidRDefault="00F41516" w:rsidP="001870C4">
            <w:pPr>
              <w:jc w:val="center"/>
              <w:rPr>
                <w:b/>
              </w:rPr>
            </w:pPr>
          </w:p>
          <w:p w:rsidR="001870C4" w:rsidRDefault="001870C4" w:rsidP="001870C4">
            <w:pPr>
              <w:jc w:val="center"/>
              <w:rPr>
                <w:b/>
              </w:rPr>
            </w:pPr>
          </w:p>
          <w:p w:rsidR="00F41516" w:rsidRDefault="00F41516" w:rsidP="001870C4">
            <w:pPr>
              <w:jc w:val="center"/>
            </w:pPr>
            <w:r w:rsidRPr="001E4B6F">
              <w:rPr>
                <w:b/>
              </w:rPr>
              <w:t>Yatarak Tedavi</w:t>
            </w:r>
          </w:p>
        </w:tc>
        <w:tc>
          <w:tcPr>
            <w:tcW w:w="1701" w:type="dxa"/>
          </w:tcPr>
          <w:p w:rsidR="001870C4" w:rsidRDefault="001870C4" w:rsidP="001870C4">
            <w:pPr>
              <w:jc w:val="center"/>
            </w:pPr>
          </w:p>
          <w:p w:rsidR="001870C4" w:rsidRDefault="001870C4" w:rsidP="001870C4">
            <w:pPr>
              <w:jc w:val="center"/>
            </w:pPr>
          </w:p>
          <w:p w:rsidR="00F41516" w:rsidRDefault="00F41516" w:rsidP="001870C4">
            <w:pPr>
              <w:jc w:val="center"/>
            </w:pPr>
            <w:r>
              <w:t>Limitsiz</w:t>
            </w:r>
          </w:p>
        </w:tc>
        <w:tc>
          <w:tcPr>
            <w:tcW w:w="1985" w:type="dxa"/>
          </w:tcPr>
          <w:p w:rsidR="00F41516" w:rsidRDefault="00F41516" w:rsidP="001870C4">
            <w:pPr>
              <w:jc w:val="center"/>
            </w:pPr>
          </w:p>
          <w:p w:rsidR="002C6EBE" w:rsidRDefault="002C6EBE" w:rsidP="002C6EBE">
            <w:pPr>
              <w:ind w:firstLine="34"/>
            </w:pPr>
            <w:r>
              <w:t xml:space="preserve">Sigortalı : % 0 </w:t>
            </w:r>
          </w:p>
          <w:p w:rsidR="002C6EBE" w:rsidRDefault="002C6EBE" w:rsidP="002C6EBE">
            <w:pPr>
              <w:ind w:firstLine="34"/>
            </w:pPr>
            <w:r>
              <w:t>Şirket     : % 100</w:t>
            </w:r>
          </w:p>
          <w:p w:rsidR="001870C4" w:rsidRDefault="001870C4" w:rsidP="002C6EBE">
            <w:pPr>
              <w:ind w:firstLine="34"/>
              <w:jc w:val="center"/>
            </w:pPr>
          </w:p>
          <w:p w:rsidR="001870C4" w:rsidRDefault="001870C4" w:rsidP="008E079B">
            <w:pPr>
              <w:pStyle w:val="ListParagraph"/>
            </w:pPr>
          </w:p>
        </w:tc>
        <w:tc>
          <w:tcPr>
            <w:tcW w:w="1645" w:type="dxa"/>
          </w:tcPr>
          <w:p w:rsidR="001870C4" w:rsidRDefault="001870C4" w:rsidP="001870C4">
            <w:pPr>
              <w:jc w:val="center"/>
            </w:pPr>
          </w:p>
          <w:p w:rsidR="001870C4" w:rsidRDefault="001870C4" w:rsidP="001870C4">
            <w:pPr>
              <w:jc w:val="center"/>
            </w:pPr>
          </w:p>
          <w:p w:rsidR="00F41516" w:rsidRDefault="00F41516" w:rsidP="001870C4">
            <w:pPr>
              <w:jc w:val="center"/>
            </w:pPr>
            <w:r>
              <w:t>20.000.-TL</w:t>
            </w:r>
          </w:p>
        </w:tc>
        <w:tc>
          <w:tcPr>
            <w:tcW w:w="1930" w:type="dxa"/>
          </w:tcPr>
          <w:p w:rsidR="00F41516" w:rsidRDefault="00F41516" w:rsidP="001870C4">
            <w:pPr>
              <w:jc w:val="center"/>
            </w:pPr>
          </w:p>
          <w:p w:rsidR="002C6EBE" w:rsidRDefault="002C6EBE" w:rsidP="002C6EBE">
            <w:pPr>
              <w:ind w:firstLine="34"/>
            </w:pPr>
            <w:r>
              <w:t xml:space="preserve">Sigortalı : % 20 </w:t>
            </w:r>
          </w:p>
          <w:p w:rsidR="002C6EBE" w:rsidRDefault="002C6EBE" w:rsidP="002C6EBE">
            <w:pPr>
              <w:ind w:firstLine="34"/>
            </w:pPr>
            <w:r>
              <w:t>Şirket     : % 80</w:t>
            </w:r>
          </w:p>
          <w:p w:rsidR="001870C4" w:rsidRDefault="001870C4" w:rsidP="001870C4">
            <w:pPr>
              <w:jc w:val="center"/>
            </w:pPr>
          </w:p>
          <w:p w:rsidR="001870C4" w:rsidRDefault="001870C4" w:rsidP="008E079B">
            <w:pPr>
              <w:pStyle w:val="ListParagraph"/>
            </w:pPr>
          </w:p>
        </w:tc>
      </w:tr>
    </w:tbl>
    <w:p w:rsidR="00F41516" w:rsidRDefault="00F41516" w:rsidP="00F41516">
      <w:pPr>
        <w:pStyle w:val="ListParagraph"/>
        <w:spacing w:after="0"/>
        <w:jc w:val="both"/>
      </w:pPr>
    </w:p>
    <w:p w:rsidR="00285FD4" w:rsidRDefault="00E679B4" w:rsidP="00A314F7">
      <w:pPr>
        <w:spacing w:after="0"/>
        <w:jc w:val="both"/>
      </w:pPr>
      <w:r w:rsidRPr="00A314F7">
        <w:rPr>
          <w:b/>
        </w:rPr>
        <w:t>Madde 2</w:t>
      </w:r>
      <w:r w:rsidR="00A314F7" w:rsidRPr="00A314F7">
        <w:rPr>
          <w:b/>
        </w:rPr>
        <w:t>-</w:t>
      </w:r>
      <w:r>
        <w:t xml:space="preserve"> </w:t>
      </w:r>
      <w:r w:rsidR="008125F6">
        <w:t xml:space="preserve">(1) </w:t>
      </w:r>
      <w:r w:rsidR="001E4B6F">
        <w:t>Madde 1</w:t>
      </w:r>
      <w:r w:rsidR="00A314F7">
        <w:t>’</w:t>
      </w:r>
      <w:r w:rsidR="001E4B6F">
        <w:t xml:space="preserve">de belirtilen asgari sigorta planını içerir daha geniş kapsamlı sözleşmelerin akdedilmesi mümkün bulunmaktadır. </w:t>
      </w:r>
    </w:p>
    <w:p w:rsidR="007C3620" w:rsidRDefault="007C3620" w:rsidP="00A314F7">
      <w:pPr>
        <w:spacing w:after="0"/>
        <w:jc w:val="both"/>
      </w:pPr>
    </w:p>
    <w:p w:rsidR="001E4B6F" w:rsidRDefault="00285FD4" w:rsidP="00A314F7">
      <w:pPr>
        <w:spacing w:after="0"/>
        <w:jc w:val="both"/>
      </w:pPr>
      <w:r>
        <w:t xml:space="preserve">(2) Poliçelerde, </w:t>
      </w:r>
      <w:r w:rsidR="001E4B6F">
        <w:t>“</w:t>
      </w:r>
      <w:r w:rsidR="00A314F7" w:rsidRPr="00F15D25">
        <w:rPr>
          <w:i/>
        </w:rPr>
        <w:t>İ</w:t>
      </w:r>
      <w:r w:rsidR="000C79E3">
        <w:rPr>
          <w:i/>
        </w:rPr>
        <w:t xml:space="preserve">şbu poliçe </w:t>
      </w:r>
      <w:proofErr w:type="gramStart"/>
      <w:r w:rsidR="000C79E3">
        <w:rPr>
          <w:i/>
        </w:rPr>
        <w:t>6/6/2014</w:t>
      </w:r>
      <w:proofErr w:type="gramEnd"/>
      <w:r w:rsidR="001E4B6F" w:rsidRPr="00F15D25">
        <w:rPr>
          <w:i/>
        </w:rPr>
        <w:t xml:space="preserve"> </w:t>
      </w:r>
      <w:r w:rsidR="000C79E3">
        <w:rPr>
          <w:i/>
        </w:rPr>
        <w:t>tarih ve 9</w:t>
      </w:r>
      <w:r w:rsidR="00A314F7" w:rsidRPr="00F15D25">
        <w:rPr>
          <w:i/>
        </w:rPr>
        <w:t xml:space="preserve"> sayılı </w:t>
      </w:r>
      <w:r w:rsidR="001C737A" w:rsidRPr="00F15D25">
        <w:rPr>
          <w:i/>
        </w:rPr>
        <w:t xml:space="preserve">İkamet İzni Taleplerinde Yaptırılacak </w:t>
      </w:r>
      <w:r w:rsidR="00A314F7" w:rsidRPr="00F15D25">
        <w:rPr>
          <w:i/>
        </w:rPr>
        <w:t xml:space="preserve">Özel </w:t>
      </w:r>
      <w:r w:rsidR="001C737A" w:rsidRPr="00F15D25">
        <w:rPr>
          <w:i/>
        </w:rPr>
        <w:t xml:space="preserve">Sağlık Sigortalarına İlişkin </w:t>
      </w:r>
      <w:proofErr w:type="spellStart"/>
      <w:r w:rsidR="001C737A" w:rsidRPr="00F15D25">
        <w:rPr>
          <w:i/>
        </w:rPr>
        <w:t>Genelge</w:t>
      </w:r>
      <w:r w:rsidR="00F15D25" w:rsidRPr="00F15D25">
        <w:rPr>
          <w:i/>
        </w:rPr>
        <w:t>’</w:t>
      </w:r>
      <w:r w:rsidR="001C737A" w:rsidRPr="00F15D25">
        <w:rPr>
          <w:i/>
        </w:rPr>
        <w:t>de</w:t>
      </w:r>
      <w:proofErr w:type="spellEnd"/>
      <w:r w:rsidR="001C737A" w:rsidRPr="00F15D25">
        <w:rPr>
          <w:i/>
        </w:rPr>
        <w:t xml:space="preserve"> belirlenen </w:t>
      </w:r>
      <w:r w:rsidR="001E4B6F" w:rsidRPr="00F15D25">
        <w:rPr>
          <w:i/>
        </w:rPr>
        <w:t>asgari teminat yapısını kapsamaktadır</w:t>
      </w:r>
      <w:r w:rsidR="001E4B6F">
        <w:t>.</w:t>
      </w:r>
      <w:r w:rsidR="001C737A">
        <w:t>”</w:t>
      </w:r>
      <w:r w:rsidR="001E4B6F">
        <w:t xml:space="preserve"> ifadesine yer verilmesi gerekmektedir.</w:t>
      </w:r>
    </w:p>
    <w:p w:rsidR="001C737A" w:rsidRDefault="001C737A" w:rsidP="00A314F7">
      <w:pPr>
        <w:spacing w:after="0"/>
        <w:jc w:val="both"/>
      </w:pPr>
    </w:p>
    <w:p w:rsidR="001E4B6F" w:rsidRDefault="00E679B4" w:rsidP="00A314F7">
      <w:pPr>
        <w:spacing w:after="0"/>
        <w:jc w:val="both"/>
      </w:pPr>
      <w:r w:rsidRPr="001C737A">
        <w:rPr>
          <w:b/>
        </w:rPr>
        <w:t>Madde 3</w:t>
      </w:r>
      <w:r w:rsidR="001C737A">
        <w:rPr>
          <w:b/>
        </w:rPr>
        <w:t>-</w:t>
      </w:r>
      <w:r>
        <w:t xml:space="preserve"> </w:t>
      </w:r>
      <w:r w:rsidR="008125F6">
        <w:t xml:space="preserve">(1) </w:t>
      </w:r>
      <w:r w:rsidR="001C737A">
        <w:t xml:space="preserve">Kısa dönem ikamet izni başvuruları kapsamında yapılan özel sağlık sigortası </w:t>
      </w:r>
      <w:r w:rsidR="001C737A" w:rsidRPr="00E679B4">
        <w:t>sözleşmeleri</w:t>
      </w:r>
      <w:r w:rsidR="00AF5009">
        <w:t>nin sigortalının talebi ile sonlandırılabilmesi için</w:t>
      </w:r>
      <w:r w:rsidR="001C737A">
        <w:t xml:space="preserve"> </w:t>
      </w:r>
      <w:r w:rsidR="001E4B6F">
        <w:t>aşağıda</w:t>
      </w:r>
      <w:r w:rsidR="00AF5009">
        <w:t>ki koşulların gerçekleşmesi gerekmektedir.</w:t>
      </w:r>
    </w:p>
    <w:p w:rsidR="000644D0" w:rsidRDefault="000644D0" w:rsidP="00A314F7">
      <w:pPr>
        <w:spacing w:after="0"/>
        <w:jc w:val="both"/>
      </w:pPr>
    </w:p>
    <w:p w:rsidR="00555FAB" w:rsidRDefault="00AF5009" w:rsidP="001C737A">
      <w:pPr>
        <w:pStyle w:val="ListParagraph"/>
        <w:numPr>
          <w:ilvl w:val="0"/>
          <w:numId w:val="2"/>
        </w:numPr>
        <w:tabs>
          <w:tab w:val="left" w:pos="284"/>
        </w:tabs>
        <w:spacing w:after="0"/>
        <w:ind w:hanging="720"/>
        <w:jc w:val="both"/>
      </w:pPr>
      <w:r>
        <w:lastRenderedPageBreak/>
        <w:t>İ</w:t>
      </w:r>
      <w:r w:rsidR="00555FAB">
        <w:t>kamet izin süresini kapsayan yeni bir</w:t>
      </w:r>
      <w:r w:rsidR="000644D0">
        <w:t xml:space="preserve"> özel sağlık sigortası</w:t>
      </w:r>
      <w:r w:rsidR="00555FAB">
        <w:t xml:space="preserve"> sözleşme</w:t>
      </w:r>
      <w:r w:rsidR="000644D0">
        <w:t>si</w:t>
      </w:r>
      <w:r w:rsidR="00555FAB">
        <w:t>nin şirkete ibrazında,</w:t>
      </w:r>
    </w:p>
    <w:p w:rsidR="000644D0" w:rsidRDefault="000644D0" w:rsidP="000644D0">
      <w:pPr>
        <w:pStyle w:val="ListParagraph"/>
        <w:tabs>
          <w:tab w:val="left" w:pos="284"/>
        </w:tabs>
        <w:spacing w:after="0"/>
        <w:jc w:val="both"/>
      </w:pPr>
    </w:p>
    <w:p w:rsidR="00555FAB" w:rsidRDefault="000644D0" w:rsidP="001C737A">
      <w:pPr>
        <w:pStyle w:val="ListParagraph"/>
        <w:numPr>
          <w:ilvl w:val="0"/>
          <w:numId w:val="2"/>
        </w:numPr>
        <w:tabs>
          <w:tab w:val="left" w:pos="284"/>
        </w:tabs>
        <w:spacing w:after="0"/>
        <w:ind w:hanging="720"/>
        <w:jc w:val="both"/>
      </w:pPr>
      <w:r>
        <w:t>İkamet izninin iptalinde,</w:t>
      </w:r>
    </w:p>
    <w:p w:rsidR="000644D0" w:rsidRDefault="000644D0" w:rsidP="000644D0">
      <w:pPr>
        <w:pStyle w:val="ListParagraph"/>
      </w:pPr>
    </w:p>
    <w:p w:rsidR="00AF5009" w:rsidRDefault="00AF5009" w:rsidP="00AE6581">
      <w:pPr>
        <w:pStyle w:val="ListParagraph"/>
        <w:numPr>
          <w:ilvl w:val="0"/>
          <w:numId w:val="2"/>
        </w:numPr>
        <w:tabs>
          <w:tab w:val="left" w:pos="284"/>
        </w:tabs>
        <w:spacing w:after="0"/>
        <w:ind w:left="284" w:hanging="284"/>
        <w:jc w:val="both"/>
      </w:pPr>
      <w:r>
        <w:t>5510 sayılı Sosyal Sigorta ve Genel Sağlık Sigortası Kanunu gereğince Genel Sağlık Sigortası kapsamına dahil olunduğunu gösterir belge ibrazında.</w:t>
      </w:r>
    </w:p>
    <w:p w:rsidR="00AF5009" w:rsidRDefault="00AF5009" w:rsidP="00AF5009">
      <w:pPr>
        <w:pStyle w:val="ListParagraph"/>
        <w:tabs>
          <w:tab w:val="left" w:pos="284"/>
        </w:tabs>
        <w:spacing w:after="0"/>
        <w:jc w:val="both"/>
      </w:pPr>
    </w:p>
    <w:p w:rsidR="008125F6" w:rsidRDefault="008125F6" w:rsidP="008125F6">
      <w:pPr>
        <w:tabs>
          <w:tab w:val="left" w:pos="284"/>
        </w:tabs>
        <w:spacing w:after="0"/>
        <w:jc w:val="both"/>
      </w:pPr>
      <w:r>
        <w:t xml:space="preserve">(2) </w:t>
      </w:r>
      <w:r w:rsidR="00AE6581">
        <w:t xml:space="preserve">Sigortacının Türk Ticaret Kanununda tanımlanan hakları kapsamında sözleşmeyi sonlandırması durumunda keyfiyet </w:t>
      </w:r>
      <w:r w:rsidR="000C4342">
        <w:t xml:space="preserve">sigorta şirketince </w:t>
      </w:r>
      <w:r w:rsidR="002C6EBE">
        <w:t>5</w:t>
      </w:r>
      <w:r w:rsidR="00AE6581">
        <w:t xml:space="preserve"> iş günü içerisinde İçişleri Bakanlığı Göç İşleri Genel Müdürlüğüne bildirilir.</w:t>
      </w:r>
    </w:p>
    <w:p w:rsidR="00AF5009" w:rsidRDefault="00AF5009" w:rsidP="008125F6">
      <w:pPr>
        <w:tabs>
          <w:tab w:val="left" w:pos="284"/>
        </w:tabs>
        <w:spacing w:after="0"/>
        <w:jc w:val="both"/>
      </w:pPr>
    </w:p>
    <w:p w:rsidR="00AF5009" w:rsidRDefault="00AF5009" w:rsidP="008125F6">
      <w:pPr>
        <w:tabs>
          <w:tab w:val="left" w:pos="284"/>
        </w:tabs>
        <w:spacing w:after="0"/>
        <w:jc w:val="both"/>
      </w:pPr>
      <w:r>
        <w:t xml:space="preserve">(3) </w:t>
      </w:r>
      <w:r w:rsidR="00BD46B0">
        <w:t>Sözleşmenin sonlandırılması</w:t>
      </w:r>
      <w:r w:rsidR="00AE6581" w:rsidRPr="008125F6">
        <w:t xml:space="preserve"> durumunda, sigortacılık prensipleri dahilinde, gün esası üzerinden prim iadesi yapılır.  </w:t>
      </w:r>
    </w:p>
    <w:p w:rsidR="008125F6" w:rsidRDefault="008125F6" w:rsidP="008125F6">
      <w:pPr>
        <w:tabs>
          <w:tab w:val="left" w:pos="284"/>
        </w:tabs>
        <w:spacing w:after="0"/>
        <w:jc w:val="both"/>
      </w:pPr>
    </w:p>
    <w:p w:rsidR="00AF5009" w:rsidRDefault="00E679B4" w:rsidP="00DB2B40">
      <w:pPr>
        <w:spacing w:after="0"/>
        <w:jc w:val="both"/>
      </w:pPr>
      <w:r w:rsidRPr="001C737A">
        <w:rPr>
          <w:b/>
        </w:rPr>
        <w:t>Madde 4</w:t>
      </w:r>
      <w:r w:rsidR="001C737A">
        <w:rPr>
          <w:b/>
        </w:rPr>
        <w:t>-</w:t>
      </w:r>
      <w:r>
        <w:t xml:space="preserve"> </w:t>
      </w:r>
      <w:r w:rsidR="00AF5009">
        <w:t xml:space="preserve">(1) Sigortacılık mevzuatı kapsamında </w:t>
      </w:r>
      <w:r w:rsidR="000D68E6">
        <w:t xml:space="preserve">sigorta ettirene verilmesi gereken belgelerin İngilizceleri, Türkçe basımı yapılan belgelere </w:t>
      </w:r>
      <w:r w:rsidR="00D47D80">
        <w:t>ek olarak</w:t>
      </w:r>
      <w:r w:rsidR="00AF5009">
        <w:t xml:space="preserve"> sigorta ettirene teslim edilir.</w:t>
      </w:r>
    </w:p>
    <w:p w:rsidR="00AF5009" w:rsidRDefault="00AF5009" w:rsidP="00DB2B40">
      <w:pPr>
        <w:spacing w:after="0"/>
        <w:jc w:val="both"/>
      </w:pPr>
    </w:p>
    <w:p w:rsidR="00AF5009" w:rsidRDefault="00AF5009" w:rsidP="00DB2B40">
      <w:pPr>
        <w:spacing w:after="0"/>
        <w:jc w:val="both"/>
      </w:pPr>
      <w:r>
        <w:t>(2) Ancak, sözleşme hükümleri kapsamında ortaya çıkabilecek ihtilaflarda Türkçe metin geçerli olup, keyfiyet bilgilendirme formunda ve poliçelerde açıklanır.</w:t>
      </w:r>
    </w:p>
    <w:p w:rsidR="00AF5009" w:rsidRDefault="00AF5009" w:rsidP="00DB2B40">
      <w:pPr>
        <w:spacing w:after="0"/>
        <w:jc w:val="both"/>
      </w:pPr>
    </w:p>
    <w:p w:rsidR="00555FAB" w:rsidRDefault="00AF5009" w:rsidP="00DB2B40">
      <w:pPr>
        <w:spacing w:after="0"/>
        <w:jc w:val="both"/>
      </w:pPr>
      <w:r>
        <w:rPr>
          <w:b/>
        </w:rPr>
        <w:t>Madde 5-</w:t>
      </w:r>
      <w:r>
        <w:t xml:space="preserve"> </w:t>
      </w:r>
      <w:r w:rsidR="008125F6">
        <w:t xml:space="preserve">(1) </w:t>
      </w:r>
      <w:proofErr w:type="gramStart"/>
      <w:r w:rsidR="00BA2F2B">
        <w:t>14/6/2007</w:t>
      </w:r>
      <w:proofErr w:type="gramEnd"/>
      <w:r w:rsidR="00BA2F2B">
        <w:t xml:space="preserve"> tarih ve 26552 sayılı Resmi </w:t>
      </w:r>
      <w:proofErr w:type="spellStart"/>
      <w:r w:rsidR="00BA2F2B">
        <w:t>Gazete’de</w:t>
      </w:r>
      <w:proofErr w:type="spellEnd"/>
      <w:r w:rsidR="00BA2F2B">
        <w:t xml:space="preserve"> yayımlanan </w:t>
      </w:r>
      <w:r w:rsidR="00555FAB">
        <w:t>5684 Sayılı S</w:t>
      </w:r>
      <w:r w:rsidR="00555FAB" w:rsidRPr="00555FAB">
        <w:t xml:space="preserve">igortacılık </w:t>
      </w:r>
      <w:r w:rsidR="00555FAB">
        <w:t>K</w:t>
      </w:r>
      <w:r w:rsidR="00555FAB" w:rsidRPr="00555FAB">
        <w:t>anunu</w:t>
      </w:r>
      <w:r w:rsidR="00555FAB">
        <w:t xml:space="preserve">nun </w:t>
      </w:r>
      <w:r w:rsidR="00BA2F2B">
        <w:t xml:space="preserve">“Yurt Dışında Yaptırılabilecek Sigortalar” başlıklı </w:t>
      </w:r>
      <w:r w:rsidR="00555FAB">
        <w:t>15 inci maddesi</w:t>
      </w:r>
      <w:r w:rsidR="00BA2F2B">
        <w:t>nin birinci fıkrası;</w:t>
      </w:r>
      <w:r w:rsidR="00555FAB">
        <w:t xml:space="preserve"> </w:t>
      </w:r>
      <w:r w:rsidR="00555FAB" w:rsidRPr="00555FAB">
        <w:rPr>
          <w:i/>
        </w:rPr>
        <w:t>“Türkiye’de yerleşik kişiler, Türkiye’deki sigortalanabilir menfaatlerini, Türkiye’de faaliyette bulunan sigorta şirketlerine ve Türkiye’de yaptırmak zorundadır.”</w:t>
      </w:r>
      <w:r w:rsidR="00555FAB">
        <w:rPr>
          <w:i/>
        </w:rPr>
        <w:t xml:space="preserve"> </w:t>
      </w:r>
      <w:r w:rsidR="00555FAB" w:rsidRPr="00555FAB">
        <w:t>hükmünü amirdir.</w:t>
      </w:r>
    </w:p>
    <w:p w:rsidR="001C737A" w:rsidRPr="00555FAB" w:rsidRDefault="001C737A" w:rsidP="00DB2B40">
      <w:pPr>
        <w:spacing w:after="0"/>
        <w:jc w:val="both"/>
        <w:rPr>
          <w:i/>
        </w:rPr>
      </w:pPr>
    </w:p>
    <w:p w:rsidR="006F646D" w:rsidRDefault="006F646D" w:rsidP="006F646D">
      <w:pPr>
        <w:spacing w:after="0"/>
        <w:jc w:val="both"/>
      </w:pPr>
      <w:r>
        <w:t>(2)</w:t>
      </w:r>
      <w:r w:rsidR="00A0361D" w:rsidRPr="00A0361D">
        <w:rPr>
          <w:rFonts w:ascii="Calibri" w:hAnsi="Calibri"/>
          <w:b/>
          <w:bCs/>
          <w:color w:val="1C283D"/>
          <w:sz w:val="22"/>
          <w:shd w:val="clear" w:color="auto" w:fill="FFFFFF"/>
        </w:rPr>
        <w:t xml:space="preserve"> </w:t>
      </w:r>
      <w:r w:rsidR="00A0361D">
        <w:rPr>
          <w:rStyle w:val="apple-converted-space"/>
          <w:rFonts w:ascii="Calibri" w:hAnsi="Calibri"/>
          <w:b/>
          <w:bCs/>
          <w:color w:val="1C283D"/>
          <w:sz w:val="22"/>
          <w:shd w:val="clear" w:color="auto" w:fill="FFFFFF"/>
        </w:rPr>
        <w:t> </w:t>
      </w:r>
      <w:r w:rsidR="00A0361D">
        <w:rPr>
          <w:rFonts w:ascii="Calibri" w:hAnsi="Calibri"/>
          <w:b/>
          <w:bCs/>
          <w:color w:val="1C283D"/>
          <w:sz w:val="22"/>
          <w:shd w:val="clear" w:color="auto" w:fill="FFFFFF"/>
        </w:rPr>
        <w:t>(</w:t>
      </w:r>
      <w:proofErr w:type="gramStart"/>
      <w:r w:rsidR="00A0361D">
        <w:rPr>
          <w:rFonts w:ascii="Calibri" w:hAnsi="Calibri"/>
          <w:b/>
          <w:bCs/>
          <w:color w:val="1C283D"/>
          <w:sz w:val="22"/>
          <w:shd w:val="clear" w:color="auto" w:fill="FFFFFF"/>
        </w:rPr>
        <w:t>Değişik:Genelge</w:t>
      </w:r>
      <w:proofErr w:type="gramEnd"/>
      <w:r w:rsidR="00A0361D">
        <w:rPr>
          <w:rFonts w:ascii="Calibri" w:hAnsi="Calibri"/>
          <w:b/>
          <w:bCs/>
          <w:color w:val="1C283D"/>
          <w:sz w:val="22"/>
          <w:shd w:val="clear" w:color="auto" w:fill="FFFFFF"/>
        </w:rPr>
        <w:t>-27/7/2015-31/2015)</w:t>
      </w:r>
      <w:r>
        <w:t xml:space="preserve"> İkamet izni başvurusunda bulunanlar Türkiye’de yerleşik kişi kabul edilecek olup, Ülkemizde ikamet izni başvurusunda bulunan ve ikamet izni alan yabancılar tarafından yaptırılacak olan özel sağlık sigortalarının, 5684 Sayılı Sigortacılık Kanunu uyarınca, ilgili branşta faaliyet izni bulunan sigorta şirketleri ile yurt dışında kurulmuş sigorta şirketlerinin Ülkemizdeki teşkilatları tarafından akdedilmesi gerekmektedir. Bu hükme aykırı olan poliçeler işleme alınmaz.</w:t>
      </w:r>
    </w:p>
    <w:p w:rsidR="006F646D" w:rsidRDefault="006F646D" w:rsidP="006F646D">
      <w:pPr>
        <w:spacing w:after="0"/>
        <w:jc w:val="both"/>
      </w:pPr>
    </w:p>
    <w:p w:rsidR="006F646D" w:rsidRDefault="006F646D" w:rsidP="006F646D">
      <w:pPr>
        <w:spacing w:after="0"/>
        <w:jc w:val="both"/>
      </w:pPr>
      <w:r>
        <w:t xml:space="preserve">(3) </w:t>
      </w:r>
      <w:r w:rsidR="00A0361D">
        <w:rPr>
          <w:rFonts w:ascii="Calibri" w:hAnsi="Calibri"/>
          <w:b/>
          <w:bCs/>
          <w:color w:val="1C283D"/>
          <w:sz w:val="22"/>
          <w:shd w:val="clear" w:color="auto" w:fill="FFFFFF"/>
        </w:rPr>
        <w:t>(</w:t>
      </w:r>
      <w:proofErr w:type="gramStart"/>
      <w:r w:rsidR="00A0361D">
        <w:rPr>
          <w:rFonts w:ascii="Calibri" w:hAnsi="Calibri"/>
          <w:b/>
          <w:bCs/>
          <w:color w:val="1C283D"/>
          <w:sz w:val="22"/>
          <w:shd w:val="clear" w:color="auto" w:fill="FFFFFF"/>
        </w:rPr>
        <w:t>Değişik:Genelge</w:t>
      </w:r>
      <w:proofErr w:type="gramEnd"/>
      <w:r w:rsidR="00A0361D">
        <w:rPr>
          <w:rFonts w:ascii="Calibri" w:hAnsi="Calibri"/>
          <w:b/>
          <w:bCs/>
          <w:color w:val="1C283D"/>
          <w:sz w:val="22"/>
          <w:shd w:val="clear" w:color="auto" w:fill="FFFFFF"/>
        </w:rPr>
        <w:t>-27/7/2015-31/2015)</w:t>
      </w:r>
      <w:r w:rsidR="00A0361D">
        <w:t xml:space="preserve"> </w:t>
      </w:r>
      <w:r>
        <w:t>Ancak ikamet izni başvurusunun yurt dışından yapılması durumunda yabancı sigorta şirketlerince akdedilen ve bu Genelge’nin 1 inci maddesinde belirtilen asgari teminatları ülkemizde sağlayan sağlık sigortası sözleşmeleri ikamet izni başvurusunda kabul edilecektir.</w:t>
      </w:r>
    </w:p>
    <w:p w:rsidR="006F646D" w:rsidRDefault="006F646D" w:rsidP="006F646D">
      <w:pPr>
        <w:spacing w:after="0"/>
        <w:jc w:val="both"/>
      </w:pPr>
    </w:p>
    <w:p w:rsidR="001C737A" w:rsidRDefault="001C737A" w:rsidP="00DB2B40">
      <w:pPr>
        <w:spacing w:after="0"/>
        <w:jc w:val="both"/>
      </w:pPr>
    </w:p>
    <w:p w:rsidR="00555FAB" w:rsidRDefault="001C737A" w:rsidP="00DB2B40">
      <w:pPr>
        <w:spacing w:after="0"/>
        <w:jc w:val="both"/>
      </w:pPr>
      <w:r>
        <w:rPr>
          <w:b/>
        </w:rPr>
        <w:t xml:space="preserve">Madde </w:t>
      </w:r>
      <w:r w:rsidR="00AF5009">
        <w:rPr>
          <w:b/>
        </w:rPr>
        <w:t>6</w:t>
      </w:r>
      <w:r>
        <w:rPr>
          <w:b/>
        </w:rPr>
        <w:t xml:space="preserve">- </w:t>
      </w:r>
      <w:r w:rsidR="008125F6" w:rsidRPr="008125F6">
        <w:t>(1)</w:t>
      </w:r>
      <w:r w:rsidR="008125F6">
        <w:rPr>
          <w:b/>
        </w:rPr>
        <w:t xml:space="preserve"> </w:t>
      </w:r>
      <w:r w:rsidR="00555FAB">
        <w:t>İşb</w:t>
      </w:r>
      <w:r>
        <w:t>u G</w:t>
      </w:r>
      <w:r w:rsidR="00555FAB">
        <w:t>enelge yayımı tarihinde yürürlüğe girer.</w:t>
      </w:r>
    </w:p>
    <w:p w:rsidR="00555FAB" w:rsidRDefault="00555FAB" w:rsidP="00DB2B40">
      <w:pPr>
        <w:spacing w:after="0"/>
        <w:ind w:left="360"/>
        <w:jc w:val="both"/>
      </w:pPr>
    </w:p>
    <w:p w:rsidR="00555FAB" w:rsidRDefault="00555FAB" w:rsidP="00DB2B40">
      <w:pPr>
        <w:spacing w:after="0"/>
        <w:ind w:left="360"/>
        <w:jc w:val="both"/>
      </w:pPr>
    </w:p>
    <w:p w:rsidR="006E16B8" w:rsidRDefault="006E16B8" w:rsidP="00DB2B40">
      <w:pPr>
        <w:spacing w:after="0"/>
        <w:ind w:left="360"/>
        <w:jc w:val="both"/>
      </w:pPr>
    </w:p>
    <w:p w:rsidR="006E16B8" w:rsidRDefault="006E16B8" w:rsidP="00DB2B40">
      <w:pPr>
        <w:spacing w:after="0"/>
        <w:ind w:left="360"/>
        <w:jc w:val="both"/>
      </w:pPr>
    </w:p>
    <w:sectPr w:rsidR="006E16B8" w:rsidSect="00EE2A3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2AB"/>
    <w:multiLevelType w:val="hybridMultilevel"/>
    <w:tmpl w:val="53485D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4657AC"/>
    <w:multiLevelType w:val="hybridMultilevel"/>
    <w:tmpl w:val="60CA9A5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402989"/>
    <w:multiLevelType w:val="hybridMultilevel"/>
    <w:tmpl w:val="69FC71FC"/>
    <w:lvl w:ilvl="0" w:tplc="041F0009">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
    <w:nsid w:val="18651814"/>
    <w:multiLevelType w:val="hybridMultilevel"/>
    <w:tmpl w:val="9608283C"/>
    <w:lvl w:ilvl="0" w:tplc="B016BC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C85783"/>
    <w:multiLevelType w:val="hybridMultilevel"/>
    <w:tmpl w:val="26EA37A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6F76FE2"/>
    <w:multiLevelType w:val="hybridMultilevel"/>
    <w:tmpl w:val="155CE01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F525D12"/>
    <w:multiLevelType w:val="hybridMultilevel"/>
    <w:tmpl w:val="7C48664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5916E82"/>
    <w:multiLevelType w:val="hybridMultilevel"/>
    <w:tmpl w:val="90DEFFEC"/>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671F5751"/>
    <w:multiLevelType w:val="hybridMultilevel"/>
    <w:tmpl w:val="FA44BE2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0152024"/>
    <w:multiLevelType w:val="hybridMultilevel"/>
    <w:tmpl w:val="65F83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22541D7"/>
    <w:multiLevelType w:val="hybridMultilevel"/>
    <w:tmpl w:val="24FE804E"/>
    <w:lvl w:ilvl="0" w:tplc="F55A44BA">
      <w:start w:val="20"/>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7EFC5698"/>
    <w:multiLevelType w:val="hybridMultilevel"/>
    <w:tmpl w:val="248EE0E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6"/>
  </w:num>
  <w:num w:numId="6">
    <w:abstractNumId w:val="5"/>
  </w:num>
  <w:num w:numId="7">
    <w:abstractNumId w:val="8"/>
  </w:num>
  <w:num w:numId="8">
    <w:abstractNumId w:val="4"/>
  </w:num>
  <w:num w:numId="9">
    <w:abstractNumId w:val="11"/>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A7"/>
    <w:rsid w:val="000644D0"/>
    <w:rsid w:val="000A70CB"/>
    <w:rsid w:val="000C4342"/>
    <w:rsid w:val="000C79E3"/>
    <w:rsid w:val="000D68E6"/>
    <w:rsid w:val="000F2FCA"/>
    <w:rsid w:val="001013B9"/>
    <w:rsid w:val="00140645"/>
    <w:rsid w:val="00151C89"/>
    <w:rsid w:val="001870C4"/>
    <w:rsid w:val="00192F43"/>
    <w:rsid w:val="001C60CE"/>
    <w:rsid w:val="001C737A"/>
    <w:rsid w:val="001E4B6F"/>
    <w:rsid w:val="00223D7C"/>
    <w:rsid w:val="00225EA9"/>
    <w:rsid w:val="00263006"/>
    <w:rsid w:val="00285FD4"/>
    <w:rsid w:val="002C6EBE"/>
    <w:rsid w:val="003179BF"/>
    <w:rsid w:val="00323E49"/>
    <w:rsid w:val="0035578D"/>
    <w:rsid w:val="004250F7"/>
    <w:rsid w:val="00441DFA"/>
    <w:rsid w:val="00550E1A"/>
    <w:rsid w:val="00555FAB"/>
    <w:rsid w:val="005706CE"/>
    <w:rsid w:val="005766EC"/>
    <w:rsid w:val="00615B76"/>
    <w:rsid w:val="00644C82"/>
    <w:rsid w:val="006C10E5"/>
    <w:rsid w:val="006D1958"/>
    <w:rsid w:val="006E16B8"/>
    <w:rsid w:val="006E30C5"/>
    <w:rsid w:val="006F646D"/>
    <w:rsid w:val="00770E89"/>
    <w:rsid w:val="007A0307"/>
    <w:rsid w:val="007A30A7"/>
    <w:rsid w:val="007C3620"/>
    <w:rsid w:val="00800EF9"/>
    <w:rsid w:val="008125F6"/>
    <w:rsid w:val="008E079B"/>
    <w:rsid w:val="0091702D"/>
    <w:rsid w:val="009B0371"/>
    <w:rsid w:val="009D0AB2"/>
    <w:rsid w:val="009E2D2D"/>
    <w:rsid w:val="00A0361D"/>
    <w:rsid w:val="00A314F7"/>
    <w:rsid w:val="00A65E88"/>
    <w:rsid w:val="00AE3539"/>
    <w:rsid w:val="00AE6581"/>
    <w:rsid w:val="00AF5009"/>
    <w:rsid w:val="00B4310B"/>
    <w:rsid w:val="00B5007C"/>
    <w:rsid w:val="00B8716D"/>
    <w:rsid w:val="00BA2F2B"/>
    <w:rsid w:val="00BC0F7A"/>
    <w:rsid w:val="00BD46B0"/>
    <w:rsid w:val="00BF56BB"/>
    <w:rsid w:val="00C10860"/>
    <w:rsid w:val="00C91600"/>
    <w:rsid w:val="00D2683C"/>
    <w:rsid w:val="00D37256"/>
    <w:rsid w:val="00D47D80"/>
    <w:rsid w:val="00DB2B40"/>
    <w:rsid w:val="00DE059A"/>
    <w:rsid w:val="00E27CB8"/>
    <w:rsid w:val="00E679B4"/>
    <w:rsid w:val="00EE2A33"/>
    <w:rsid w:val="00F15D25"/>
    <w:rsid w:val="00F35FF9"/>
    <w:rsid w:val="00F41516"/>
    <w:rsid w:val="00F51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7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F7A"/>
    <w:pPr>
      <w:ind w:left="720"/>
      <w:contextualSpacing/>
    </w:pPr>
  </w:style>
  <w:style w:type="table" w:styleId="TableGrid">
    <w:name w:val="Table Grid"/>
    <w:basedOn w:val="TableNormal"/>
    <w:uiPriority w:val="59"/>
    <w:rsid w:val="00B4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B9"/>
    <w:rPr>
      <w:rFonts w:ascii="Tahoma" w:hAnsi="Tahoma" w:cs="Tahoma"/>
      <w:sz w:val="16"/>
      <w:szCs w:val="16"/>
    </w:rPr>
  </w:style>
  <w:style w:type="character" w:customStyle="1" w:styleId="apple-converted-space">
    <w:name w:val="apple-converted-space"/>
    <w:basedOn w:val="DefaultParagraphFont"/>
    <w:rsid w:val="00A03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7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F7A"/>
    <w:pPr>
      <w:ind w:left="720"/>
      <w:contextualSpacing/>
    </w:pPr>
  </w:style>
  <w:style w:type="table" w:styleId="TableGrid">
    <w:name w:val="Table Grid"/>
    <w:basedOn w:val="TableNormal"/>
    <w:uiPriority w:val="59"/>
    <w:rsid w:val="00B4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3B9"/>
    <w:rPr>
      <w:rFonts w:ascii="Tahoma" w:hAnsi="Tahoma" w:cs="Tahoma"/>
      <w:sz w:val="16"/>
      <w:szCs w:val="16"/>
    </w:rPr>
  </w:style>
  <w:style w:type="character" w:customStyle="1" w:styleId="apple-converted-space">
    <w:name w:val="apple-converted-space"/>
    <w:basedOn w:val="DefaultParagraphFont"/>
    <w:rsid w:val="00A0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B16B-B43B-439E-B52D-F93487E1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Hazine Müsteşarlığı</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KUBRA ILHAN</dc:creator>
  <cp:lastModifiedBy>ALI BURAK KURTULAN</cp:lastModifiedBy>
  <cp:revision>2</cp:revision>
  <cp:lastPrinted>2014-06-06T11:39:00Z</cp:lastPrinted>
  <dcterms:created xsi:type="dcterms:W3CDTF">2015-08-03T08:24:00Z</dcterms:created>
  <dcterms:modified xsi:type="dcterms:W3CDTF">2015-08-03T08:24:00Z</dcterms:modified>
</cp:coreProperties>
</file>