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A58" w:rsidRPr="00651D7C" w:rsidRDefault="00885A58" w:rsidP="00885A58">
      <w:pPr>
        <w:autoSpaceDE w:val="0"/>
        <w:autoSpaceDN w:val="0"/>
        <w:adjustRightInd w:val="0"/>
        <w:jc w:val="center"/>
        <w:rPr>
          <w:rFonts w:ascii="Century" w:hAnsi="Century" w:cs="Arial,Bold"/>
          <w:b/>
          <w:bCs/>
        </w:rPr>
      </w:pPr>
      <w:bookmarkStart w:id="0" w:name="_GoBack"/>
      <w:bookmarkEnd w:id="0"/>
    </w:p>
    <w:p w:rsidR="00885A58" w:rsidRPr="00367FA3" w:rsidRDefault="0079339A" w:rsidP="00885A58">
      <w:pPr>
        <w:autoSpaceDE w:val="0"/>
        <w:autoSpaceDN w:val="0"/>
        <w:adjustRightInd w:val="0"/>
        <w:jc w:val="center"/>
        <w:rPr>
          <w:rFonts w:ascii="Century" w:hAnsi="Century" w:cs="Arial,Bold"/>
          <w:b/>
          <w:bCs/>
        </w:rPr>
      </w:pPr>
      <w:r w:rsidRPr="00367FA3">
        <w:rPr>
          <w:rFonts w:ascii="Century" w:hAnsi="Century" w:cs="Arial,Bold"/>
          <w:b/>
          <w:bCs/>
        </w:rPr>
        <w:t>T.C.</w:t>
      </w:r>
    </w:p>
    <w:p w:rsidR="00885A58" w:rsidRPr="00367FA3" w:rsidRDefault="00885A58" w:rsidP="00885A58">
      <w:pPr>
        <w:autoSpaceDE w:val="0"/>
        <w:autoSpaceDN w:val="0"/>
        <w:adjustRightInd w:val="0"/>
        <w:jc w:val="center"/>
        <w:rPr>
          <w:rFonts w:ascii="Century" w:hAnsi="Century" w:cs="Arial,Bold"/>
          <w:b/>
          <w:bCs/>
        </w:rPr>
      </w:pPr>
      <w:r w:rsidRPr="00367FA3">
        <w:rPr>
          <w:rFonts w:ascii="Century" w:hAnsi="Century" w:cs="Arial,Bold"/>
          <w:b/>
          <w:bCs/>
        </w:rPr>
        <w:t>BAŞBAKANLIK</w:t>
      </w:r>
    </w:p>
    <w:p w:rsidR="00885A58" w:rsidRPr="00367FA3" w:rsidRDefault="00885A58" w:rsidP="00885A58">
      <w:pPr>
        <w:autoSpaceDE w:val="0"/>
        <w:autoSpaceDN w:val="0"/>
        <w:adjustRightInd w:val="0"/>
        <w:jc w:val="center"/>
        <w:rPr>
          <w:rFonts w:ascii="Century" w:hAnsi="Century" w:cs="Arial,Bold"/>
          <w:b/>
          <w:bCs/>
        </w:rPr>
      </w:pPr>
      <w:r w:rsidRPr="00367FA3">
        <w:rPr>
          <w:rFonts w:ascii="Century" w:hAnsi="Century" w:cs="Arial,Bold"/>
          <w:b/>
          <w:bCs/>
        </w:rPr>
        <w:t>HAZİNE MÜSTEŞARLIĞI</w:t>
      </w:r>
    </w:p>
    <w:p w:rsidR="00885A58" w:rsidRPr="00367FA3" w:rsidRDefault="00885A58" w:rsidP="00885A58">
      <w:pPr>
        <w:autoSpaceDE w:val="0"/>
        <w:autoSpaceDN w:val="0"/>
        <w:adjustRightInd w:val="0"/>
        <w:jc w:val="center"/>
        <w:rPr>
          <w:rFonts w:ascii="Century" w:hAnsi="Century" w:cs="Arial,Bold"/>
          <w:b/>
          <w:bCs/>
        </w:rPr>
      </w:pPr>
      <w:r w:rsidRPr="00367FA3">
        <w:rPr>
          <w:rFonts w:ascii="Century" w:hAnsi="Century" w:cs="Arial,Bold"/>
          <w:b/>
          <w:bCs/>
        </w:rPr>
        <w:t>SİGORTA DENETLEME KURULU</w:t>
      </w:r>
    </w:p>
    <w:p w:rsidR="00885A58" w:rsidRPr="00367FA3" w:rsidRDefault="00885A58" w:rsidP="00885A58">
      <w:pPr>
        <w:autoSpaceDE w:val="0"/>
        <w:autoSpaceDN w:val="0"/>
        <w:adjustRightInd w:val="0"/>
        <w:jc w:val="center"/>
        <w:rPr>
          <w:rFonts w:ascii="Century" w:hAnsi="Century" w:cs="Arial"/>
        </w:rPr>
      </w:pPr>
    </w:p>
    <w:p w:rsidR="00885A58" w:rsidRPr="00367FA3" w:rsidRDefault="00885A58" w:rsidP="00885A58">
      <w:pPr>
        <w:autoSpaceDE w:val="0"/>
        <w:autoSpaceDN w:val="0"/>
        <w:adjustRightInd w:val="0"/>
        <w:jc w:val="center"/>
        <w:rPr>
          <w:rFonts w:ascii="Century" w:hAnsi="Century" w:cs="Arial"/>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36"/>
          <w:szCs w:val="36"/>
        </w:rPr>
      </w:pPr>
      <w:r w:rsidRPr="00367FA3">
        <w:rPr>
          <w:rFonts w:ascii="Century" w:hAnsi="Century" w:cs="Arial,Bold"/>
          <w:b/>
          <w:bCs/>
          <w:sz w:val="36"/>
          <w:szCs w:val="36"/>
        </w:rPr>
        <w:t xml:space="preserve">TÜRKİYE’DE </w:t>
      </w:r>
    </w:p>
    <w:p w:rsidR="00885A58" w:rsidRPr="00367FA3" w:rsidRDefault="00885A58" w:rsidP="00885A58">
      <w:pPr>
        <w:autoSpaceDE w:val="0"/>
        <w:autoSpaceDN w:val="0"/>
        <w:adjustRightInd w:val="0"/>
        <w:jc w:val="center"/>
        <w:rPr>
          <w:rFonts w:ascii="Century" w:hAnsi="Century" w:cs="Arial,Bold"/>
          <w:b/>
          <w:bCs/>
          <w:sz w:val="36"/>
          <w:szCs w:val="36"/>
        </w:rPr>
      </w:pPr>
      <w:r w:rsidRPr="00367FA3">
        <w:rPr>
          <w:rFonts w:ascii="Century" w:hAnsi="Century" w:cs="Arial,Bold"/>
          <w:b/>
          <w:bCs/>
          <w:sz w:val="36"/>
          <w:szCs w:val="36"/>
        </w:rPr>
        <w:t>SİGORTACILIK VE BİREYSEL EMEKLİLİK</w:t>
      </w:r>
    </w:p>
    <w:p w:rsidR="00885A58" w:rsidRPr="00367FA3" w:rsidRDefault="00885A58" w:rsidP="00885A58">
      <w:pPr>
        <w:autoSpaceDE w:val="0"/>
        <w:autoSpaceDN w:val="0"/>
        <w:adjustRightInd w:val="0"/>
        <w:jc w:val="center"/>
        <w:rPr>
          <w:rFonts w:ascii="Century" w:hAnsi="Century" w:cs="Arial,Bold"/>
          <w:b/>
          <w:bCs/>
          <w:sz w:val="36"/>
          <w:szCs w:val="36"/>
        </w:rPr>
      </w:pPr>
      <w:r w:rsidRPr="00367FA3">
        <w:rPr>
          <w:rFonts w:ascii="Century" w:hAnsi="Century" w:cs="Arial,Bold"/>
          <w:b/>
          <w:bCs/>
          <w:sz w:val="36"/>
          <w:szCs w:val="36"/>
        </w:rPr>
        <w:t xml:space="preserve">FAALİYETLERİ </w:t>
      </w:r>
    </w:p>
    <w:p w:rsidR="00885A58" w:rsidRPr="00367FA3" w:rsidRDefault="00885A58" w:rsidP="00885A58">
      <w:pPr>
        <w:autoSpaceDE w:val="0"/>
        <w:autoSpaceDN w:val="0"/>
        <w:adjustRightInd w:val="0"/>
        <w:jc w:val="center"/>
        <w:rPr>
          <w:rFonts w:ascii="Century" w:hAnsi="Century" w:cs="Arial,Bold"/>
          <w:b/>
          <w:bCs/>
          <w:sz w:val="36"/>
          <w:szCs w:val="36"/>
        </w:rPr>
      </w:pPr>
      <w:r w:rsidRPr="00367FA3">
        <w:rPr>
          <w:rFonts w:ascii="Century" w:hAnsi="Century" w:cs="Arial,Bold"/>
          <w:b/>
          <w:bCs/>
          <w:sz w:val="36"/>
          <w:szCs w:val="36"/>
        </w:rPr>
        <w:t>HAKKINDA RAPOR</w:t>
      </w: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105640" w:rsidP="00885A58">
      <w:pPr>
        <w:autoSpaceDE w:val="0"/>
        <w:autoSpaceDN w:val="0"/>
        <w:adjustRightInd w:val="0"/>
        <w:jc w:val="center"/>
        <w:rPr>
          <w:rFonts w:ascii="Century" w:hAnsi="Century" w:cs="Arial,Bold"/>
          <w:b/>
          <w:bCs/>
          <w:sz w:val="52"/>
          <w:szCs w:val="52"/>
        </w:rPr>
      </w:pPr>
      <w:r w:rsidRPr="00367FA3">
        <w:rPr>
          <w:rFonts w:ascii="Century" w:hAnsi="Century" w:cs="Arial,Bold"/>
          <w:b/>
          <w:bCs/>
          <w:sz w:val="52"/>
          <w:szCs w:val="52"/>
        </w:rPr>
        <w:t>2007</w:t>
      </w: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367FA3" w:rsidRDefault="00885A58" w:rsidP="00885A58">
      <w:pPr>
        <w:autoSpaceDE w:val="0"/>
        <w:autoSpaceDN w:val="0"/>
        <w:adjustRightInd w:val="0"/>
        <w:jc w:val="center"/>
        <w:rPr>
          <w:rFonts w:ascii="Century" w:hAnsi="Century" w:cs="Arial,Bold"/>
          <w:b/>
          <w:bCs/>
          <w:sz w:val="22"/>
          <w:szCs w:val="22"/>
        </w:rPr>
      </w:pPr>
    </w:p>
    <w:p w:rsidR="00885A58" w:rsidRPr="00201FCB" w:rsidRDefault="00885A58" w:rsidP="00885A58">
      <w:pPr>
        <w:autoSpaceDE w:val="0"/>
        <w:autoSpaceDN w:val="0"/>
        <w:adjustRightInd w:val="0"/>
        <w:jc w:val="center"/>
        <w:rPr>
          <w:rFonts w:ascii="Century" w:hAnsi="Century" w:cs="Arial,Bold"/>
          <w:bCs/>
          <w:sz w:val="36"/>
          <w:szCs w:val="36"/>
        </w:rPr>
      </w:pPr>
      <w:r w:rsidRPr="00201FCB">
        <w:rPr>
          <w:rFonts w:ascii="Century" w:hAnsi="Century" w:cs="Arial,Bold"/>
          <w:bCs/>
          <w:sz w:val="36"/>
          <w:szCs w:val="36"/>
        </w:rPr>
        <w:t xml:space="preserve">ANNUAL REPORT </w:t>
      </w:r>
    </w:p>
    <w:p w:rsidR="00885A58" w:rsidRPr="00201FCB" w:rsidRDefault="00885A58" w:rsidP="00885A58">
      <w:pPr>
        <w:autoSpaceDE w:val="0"/>
        <w:autoSpaceDN w:val="0"/>
        <w:adjustRightInd w:val="0"/>
        <w:jc w:val="center"/>
        <w:rPr>
          <w:rFonts w:ascii="Century" w:hAnsi="Century" w:cs="Arial,Bold"/>
          <w:bCs/>
          <w:sz w:val="36"/>
          <w:szCs w:val="36"/>
        </w:rPr>
      </w:pPr>
      <w:r w:rsidRPr="00201FCB">
        <w:rPr>
          <w:rFonts w:ascii="Century" w:hAnsi="Century" w:cs="Arial,Bold"/>
          <w:bCs/>
          <w:sz w:val="36"/>
          <w:szCs w:val="36"/>
        </w:rPr>
        <w:t xml:space="preserve">ABOUT </w:t>
      </w:r>
    </w:p>
    <w:p w:rsidR="00885A58" w:rsidRPr="00201FCB" w:rsidRDefault="00885A58" w:rsidP="00885A58">
      <w:pPr>
        <w:autoSpaceDE w:val="0"/>
        <w:autoSpaceDN w:val="0"/>
        <w:adjustRightInd w:val="0"/>
        <w:jc w:val="center"/>
        <w:rPr>
          <w:rFonts w:ascii="Century" w:hAnsi="Century" w:cs="Arial,Bold"/>
          <w:bCs/>
          <w:sz w:val="36"/>
          <w:szCs w:val="36"/>
        </w:rPr>
      </w:pPr>
      <w:r w:rsidRPr="00201FCB">
        <w:rPr>
          <w:rFonts w:ascii="Century" w:hAnsi="Century" w:cs="Arial,Bold"/>
          <w:bCs/>
          <w:sz w:val="36"/>
          <w:szCs w:val="36"/>
        </w:rPr>
        <w:t xml:space="preserve">INSURANCE </w:t>
      </w:r>
      <w:smartTag w:uri="urn:schemas-microsoft-com:office:smarttags" w:element="stockticker">
        <w:r w:rsidRPr="00201FCB">
          <w:rPr>
            <w:rFonts w:ascii="Century" w:hAnsi="Century" w:cs="Arial,Bold"/>
            <w:bCs/>
            <w:sz w:val="36"/>
            <w:szCs w:val="36"/>
          </w:rPr>
          <w:t>AND</w:t>
        </w:r>
      </w:smartTag>
      <w:r w:rsidRPr="00201FCB">
        <w:rPr>
          <w:rFonts w:ascii="Century" w:hAnsi="Century" w:cs="Arial,Bold"/>
          <w:bCs/>
          <w:sz w:val="36"/>
          <w:szCs w:val="36"/>
        </w:rPr>
        <w:t xml:space="preserve"> PRIVATE PENSION</w:t>
      </w:r>
    </w:p>
    <w:p w:rsidR="00885A58" w:rsidRPr="00201FCB" w:rsidRDefault="00885A58" w:rsidP="00885A58">
      <w:pPr>
        <w:autoSpaceDE w:val="0"/>
        <w:autoSpaceDN w:val="0"/>
        <w:adjustRightInd w:val="0"/>
        <w:jc w:val="center"/>
        <w:rPr>
          <w:rFonts w:ascii="Century" w:hAnsi="Century" w:cs="Arial,Bold"/>
          <w:bCs/>
          <w:sz w:val="36"/>
          <w:szCs w:val="36"/>
        </w:rPr>
      </w:pPr>
      <w:r w:rsidRPr="00201FCB">
        <w:rPr>
          <w:rFonts w:ascii="Century" w:hAnsi="Century" w:cs="Arial,Bold"/>
          <w:bCs/>
          <w:sz w:val="36"/>
          <w:szCs w:val="36"/>
        </w:rPr>
        <w:t xml:space="preserve">ACTIVITIES </w:t>
      </w:r>
    </w:p>
    <w:p w:rsidR="00885A58" w:rsidRPr="00201FCB" w:rsidRDefault="00885A58" w:rsidP="00885A58">
      <w:pPr>
        <w:autoSpaceDE w:val="0"/>
        <w:autoSpaceDN w:val="0"/>
        <w:adjustRightInd w:val="0"/>
        <w:jc w:val="center"/>
        <w:rPr>
          <w:rFonts w:ascii="Century" w:hAnsi="Century" w:cs="Arial,Bold"/>
          <w:bCs/>
          <w:sz w:val="36"/>
          <w:szCs w:val="36"/>
        </w:rPr>
      </w:pPr>
      <w:r w:rsidRPr="00201FCB">
        <w:rPr>
          <w:rFonts w:ascii="Century" w:hAnsi="Century" w:cs="Arial,Bold"/>
          <w:bCs/>
          <w:sz w:val="36"/>
          <w:szCs w:val="36"/>
        </w:rPr>
        <w:t xml:space="preserve">IN </w:t>
      </w:r>
      <w:smartTag w:uri="urn:schemas-microsoft-com:office:smarttags" w:element="place">
        <w:smartTag w:uri="urn:schemas-microsoft-com:office:smarttags" w:element="country-region">
          <w:r w:rsidRPr="00201FCB">
            <w:rPr>
              <w:rFonts w:ascii="Century" w:hAnsi="Century" w:cs="Arial,Bold"/>
              <w:bCs/>
              <w:sz w:val="36"/>
              <w:szCs w:val="36"/>
            </w:rPr>
            <w:t>TURKEY</w:t>
          </w:r>
        </w:smartTag>
      </w:smartTag>
    </w:p>
    <w:p w:rsidR="00885A58" w:rsidRPr="00201FCB" w:rsidRDefault="00885A58" w:rsidP="00885A58">
      <w:pPr>
        <w:autoSpaceDE w:val="0"/>
        <w:autoSpaceDN w:val="0"/>
        <w:adjustRightInd w:val="0"/>
        <w:jc w:val="center"/>
        <w:rPr>
          <w:rFonts w:ascii="Century" w:hAnsi="Century" w:cs="Arial,Bold"/>
          <w:bCs/>
          <w:sz w:val="22"/>
          <w:szCs w:val="22"/>
        </w:rPr>
      </w:pPr>
    </w:p>
    <w:p w:rsidR="00885A58" w:rsidRPr="00201FCB" w:rsidRDefault="00885A58" w:rsidP="00885A58">
      <w:pPr>
        <w:autoSpaceDE w:val="0"/>
        <w:autoSpaceDN w:val="0"/>
        <w:adjustRightInd w:val="0"/>
        <w:jc w:val="center"/>
        <w:rPr>
          <w:rFonts w:ascii="Century" w:hAnsi="Century" w:cs="Arial,Bold"/>
          <w:bCs/>
          <w:sz w:val="22"/>
          <w:szCs w:val="22"/>
        </w:rPr>
      </w:pPr>
    </w:p>
    <w:p w:rsidR="00885A58" w:rsidRPr="00201FCB" w:rsidRDefault="00885A58" w:rsidP="00885A58">
      <w:pPr>
        <w:autoSpaceDE w:val="0"/>
        <w:autoSpaceDN w:val="0"/>
        <w:adjustRightInd w:val="0"/>
        <w:jc w:val="center"/>
        <w:rPr>
          <w:rFonts w:ascii="Century" w:hAnsi="Century" w:cs="Arial,Bold"/>
          <w:bCs/>
          <w:sz w:val="22"/>
          <w:szCs w:val="22"/>
        </w:rPr>
      </w:pPr>
    </w:p>
    <w:p w:rsidR="00885A58" w:rsidRPr="00201FCB" w:rsidRDefault="00885A58" w:rsidP="00885A58">
      <w:pPr>
        <w:autoSpaceDE w:val="0"/>
        <w:autoSpaceDN w:val="0"/>
        <w:adjustRightInd w:val="0"/>
        <w:jc w:val="center"/>
        <w:rPr>
          <w:rFonts w:ascii="Century" w:hAnsi="Century" w:cs="Arial,Bold"/>
          <w:bCs/>
          <w:sz w:val="22"/>
          <w:szCs w:val="22"/>
        </w:rPr>
      </w:pPr>
    </w:p>
    <w:p w:rsidR="00885A58" w:rsidRPr="00201FCB" w:rsidRDefault="00885A58" w:rsidP="00885A58">
      <w:pPr>
        <w:autoSpaceDE w:val="0"/>
        <w:autoSpaceDN w:val="0"/>
        <w:adjustRightInd w:val="0"/>
        <w:jc w:val="center"/>
        <w:rPr>
          <w:rFonts w:ascii="Century" w:hAnsi="Century" w:cs="Arial,Bold"/>
          <w:bCs/>
          <w:sz w:val="22"/>
          <w:szCs w:val="22"/>
        </w:rPr>
      </w:pPr>
    </w:p>
    <w:p w:rsidR="00885A58" w:rsidRPr="00201FCB" w:rsidRDefault="00885A58" w:rsidP="00885A58">
      <w:pPr>
        <w:autoSpaceDE w:val="0"/>
        <w:autoSpaceDN w:val="0"/>
        <w:adjustRightInd w:val="0"/>
        <w:jc w:val="center"/>
        <w:rPr>
          <w:rFonts w:ascii="Century" w:hAnsi="Century" w:cs="Arial,Bold"/>
          <w:bCs/>
          <w:sz w:val="22"/>
          <w:szCs w:val="22"/>
        </w:rPr>
      </w:pPr>
    </w:p>
    <w:p w:rsidR="00885A58" w:rsidRPr="00201FCB" w:rsidRDefault="00885A58" w:rsidP="00885A58">
      <w:pPr>
        <w:autoSpaceDE w:val="0"/>
        <w:autoSpaceDN w:val="0"/>
        <w:adjustRightInd w:val="0"/>
        <w:jc w:val="center"/>
        <w:rPr>
          <w:rFonts w:ascii="Century" w:hAnsi="Century" w:cs="Arial,Bold"/>
          <w:bCs/>
          <w:sz w:val="22"/>
          <w:szCs w:val="22"/>
        </w:rPr>
      </w:pPr>
    </w:p>
    <w:p w:rsidR="00885A58" w:rsidRPr="00201FCB" w:rsidRDefault="00885A58" w:rsidP="00885A58">
      <w:pPr>
        <w:autoSpaceDE w:val="0"/>
        <w:autoSpaceDN w:val="0"/>
        <w:adjustRightInd w:val="0"/>
        <w:jc w:val="center"/>
        <w:rPr>
          <w:rFonts w:ascii="Century" w:hAnsi="Century" w:cs="Arial,Bold"/>
          <w:bCs/>
        </w:rPr>
      </w:pPr>
      <w:smartTag w:uri="urn:schemas-microsoft-com:office:smarttags" w:element="place">
        <w:smartTag w:uri="urn:schemas-microsoft-com:office:smarttags" w:element="PlaceType">
          <w:r w:rsidRPr="00201FCB">
            <w:rPr>
              <w:rFonts w:ascii="Century" w:hAnsi="Century" w:cs="Arial,Bold"/>
              <w:bCs/>
            </w:rPr>
            <w:t>REPUBLIC</w:t>
          </w:r>
        </w:smartTag>
        <w:r w:rsidRPr="00201FCB">
          <w:rPr>
            <w:rFonts w:ascii="Century" w:hAnsi="Century" w:cs="Arial,Bold"/>
            <w:bCs/>
          </w:rPr>
          <w:t xml:space="preserve"> OF </w:t>
        </w:r>
        <w:smartTag w:uri="urn:schemas-microsoft-com:office:smarttags" w:element="PlaceName">
          <w:r w:rsidRPr="00201FCB">
            <w:rPr>
              <w:rFonts w:ascii="Century" w:hAnsi="Century" w:cs="Arial,Bold"/>
              <w:bCs/>
            </w:rPr>
            <w:t>TURKEY</w:t>
          </w:r>
        </w:smartTag>
      </w:smartTag>
      <w:r w:rsidRPr="00201FCB">
        <w:rPr>
          <w:rFonts w:ascii="Century" w:hAnsi="Century" w:cs="Arial,Bold"/>
          <w:bCs/>
        </w:rPr>
        <w:t xml:space="preserve"> </w:t>
      </w:r>
    </w:p>
    <w:p w:rsidR="00885A58" w:rsidRPr="00201FCB" w:rsidRDefault="00885A58" w:rsidP="00885A58">
      <w:pPr>
        <w:autoSpaceDE w:val="0"/>
        <w:autoSpaceDN w:val="0"/>
        <w:adjustRightInd w:val="0"/>
        <w:jc w:val="center"/>
        <w:rPr>
          <w:rFonts w:ascii="Century" w:hAnsi="Century" w:cs="Arial,Bold"/>
          <w:bCs/>
        </w:rPr>
      </w:pPr>
      <w:r w:rsidRPr="00201FCB">
        <w:rPr>
          <w:rFonts w:ascii="Century" w:hAnsi="Century" w:cs="Arial,Bold"/>
          <w:bCs/>
        </w:rPr>
        <w:t xml:space="preserve">PRIME MINISTRY </w:t>
      </w:r>
    </w:p>
    <w:p w:rsidR="00885A58" w:rsidRPr="00201FCB" w:rsidRDefault="00885A58" w:rsidP="00885A58">
      <w:pPr>
        <w:autoSpaceDE w:val="0"/>
        <w:autoSpaceDN w:val="0"/>
        <w:adjustRightInd w:val="0"/>
        <w:jc w:val="center"/>
        <w:rPr>
          <w:rFonts w:ascii="Century" w:hAnsi="Century" w:cs="Arial,Bold"/>
          <w:bCs/>
        </w:rPr>
      </w:pPr>
      <w:r w:rsidRPr="00201FCB">
        <w:rPr>
          <w:rFonts w:ascii="Century" w:hAnsi="Century" w:cs="Arial,Bold"/>
          <w:bCs/>
        </w:rPr>
        <w:t>UNDERSECRETARIAT OF TREASURY</w:t>
      </w:r>
    </w:p>
    <w:p w:rsidR="00885A58" w:rsidRPr="00201FCB" w:rsidRDefault="00885A58" w:rsidP="00885A58">
      <w:pPr>
        <w:autoSpaceDE w:val="0"/>
        <w:autoSpaceDN w:val="0"/>
        <w:adjustRightInd w:val="0"/>
        <w:jc w:val="center"/>
        <w:rPr>
          <w:rFonts w:ascii="Century" w:hAnsi="Century" w:cs="Arial,Bold"/>
          <w:bCs/>
        </w:rPr>
      </w:pPr>
      <w:r w:rsidRPr="00201FCB">
        <w:rPr>
          <w:rFonts w:ascii="Century" w:hAnsi="Century" w:cs="Arial,Bold"/>
          <w:bCs/>
        </w:rPr>
        <w:t>INSURANCE SUPERVISORY BOARD</w:t>
      </w:r>
    </w:p>
    <w:p w:rsidR="00403C2A" w:rsidRPr="00367FA3" w:rsidRDefault="00403C2A" w:rsidP="008D17FE">
      <w:pPr>
        <w:rPr>
          <w:rFonts w:ascii="Century" w:hAnsi="Century"/>
          <w:lang w:val="tr-TR"/>
        </w:rPr>
        <w:sectPr w:rsidR="00403C2A" w:rsidRPr="00367FA3" w:rsidSect="00DA718E">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pgNumType w:fmt="lowerRoman" w:start="1"/>
          <w:cols w:space="708"/>
          <w:titlePg/>
          <w:docGrid w:linePitch="360"/>
        </w:sectPr>
      </w:pPr>
    </w:p>
    <w:p w:rsidR="001B3384" w:rsidRPr="00367FA3" w:rsidRDefault="001B3384" w:rsidP="008D17FE">
      <w:pPr>
        <w:rPr>
          <w:rFonts w:ascii="Century" w:hAnsi="Century"/>
          <w:lang w:val="tr-TR"/>
        </w:rPr>
        <w:sectPr w:rsidR="001B3384" w:rsidRPr="00367FA3" w:rsidSect="00AB757E">
          <w:pgSz w:w="11906" w:h="16838"/>
          <w:pgMar w:top="1440" w:right="1440" w:bottom="1440" w:left="1440" w:header="708" w:footer="708" w:gutter="0"/>
          <w:pgNumType w:fmt="lowerRoman" w:start="1"/>
          <w:cols w:space="708"/>
          <w:titlePg/>
          <w:docGrid w:linePitch="360"/>
        </w:sectPr>
      </w:pPr>
    </w:p>
    <w:tbl>
      <w:tblPr>
        <w:tblW w:w="9855" w:type="dxa"/>
        <w:tblInd w:w="-252" w:type="dxa"/>
        <w:tblLayout w:type="fixed"/>
        <w:tblLook w:val="04A0" w:firstRow="1" w:lastRow="0" w:firstColumn="1" w:lastColumn="0" w:noHBand="0" w:noVBand="1"/>
      </w:tblPr>
      <w:tblGrid>
        <w:gridCol w:w="4815"/>
        <w:gridCol w:w="236"/>
        <w:gridCol w:w="4804"/>
      </w:tblGrid>
      <w:tr w:rsidR="00403C2A" w:rsidRPr="00367FA3">
        <w:tc>
          <w:tcPr>
            <w:tcW w:w="4815" w:type="dxa"/>
          </w:tcPr>
          <w:p w:rsidR="00403C2A" w:rsidRPr="00367FA3" w:rsidRDefault="00403C2A" w:rsidP="00403C2A">
            <w:pPr>
              <w:jc w:val="center"/>
              <w:rPr>
                <w:rFonts w:ascii="Century" w:hAnsi="Century" w:cs="Arial"/>
                <w:b/>
                <w:lang w:val="tr-TR"/>
              </w:rPr>
            </w:pPr>
            <w:r w:rsidRPr="00367FA3">
              <w:rPr>
                <w:rFonts w:ascii="Century" w:hAnsi="Century" w:cs="Arial"/>
                <w:b/>
                <w:lang w:val="tr-TR"/>
              </w:rPr>
              <w:lastRenderedPageBreak/>
              <w:t>ÖNSÖZ</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ab/>
              <w:t xml:space="preserve"> </w:t>
            </w:r>
          </w:p>
          <w:p w:rsidR="00403C2A" w:rsidRPr="00367FA3" w:rsidRDefault="00403C2A" w:rsidP="00403C2A">
            <w:pPr>
              <w:jc w:val="both"/>
              <w:rPr>
                <w:rFonts w:ascii="Century" w:hAnsi="Century" w:cs="Arial"/>
                <w:lang w:val="tr-TR"/>
              </w:rPr>
            </w:pPr>
            <w:r w:rsidRPr="00367FA3">
              <w:rPr>
                <w:rFonts w:ascii="Century" w:hAnsi="Century" w:cs="Arial"/>
                <w:lang w:val="tr-TR"/>
              </w:rPr>
              <w:t>Sigortacılık, bir taraftan risk transferi yoluyla sigortalıların maruz kalacakları zararları bertaraf etmekte, diğer taraftan fon bi</w:t>
            </w:r>
            <w:r w:rsidR="006A5C30">
              <w:rPr>
                <w:rFonts w:ascii="Century" w:hAnsi="Century" w:cs="Arial"/>
                <w:lang w:val="tr-TR"/>
              </w:rPr>
              <w:t xml:space="preserve">rikimi yaratmak suretiyle </w:t>
            </w:r>
            <w:r w:rsidRPr="00367FA3">
              <w:rPr>
                <w:rFonts w:ascii="Century" w:hAnsi="Century" w:cs="Arial"/>
                <w:lang w:val="tr-TR"/>
              </w:rPr>
              <w:t xml:space="preserve">ekonominin gelişmesine ve istikrarına katkıda bulunmaktadır. Sigortacılık bu özellikleri nedeniyle, gelişmiş ülkelerin milli ekonomileri ve mali piyasaları içinde çok önemli bir konuma sahip bulunmaktadır. </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Ülkemizde hak ettiği büyüklüğe henüz ulaşamamış olmakla birlikte, son yıllarda ekonomide yaşanan olumlu gelişmelere paralel olarak sigortacılık sektöründe de önemli ilerlemeler kaydedilmiştir. Rapora da yansıdığı üzere, 200</w:t>
            </w:r>
            <w:r w:rsidR="00105640" w:rsidRPr="00367FA3">
              <w:rPr>
                <w:rFonts w:ascii="Century" w:hAnsi="Century" w:cs="Arial"/>
                <w:lang w:val="tr-TR"/>
              </w:rPr>
              <w:t>7</w:t>
            </w:r>
            <w:r w:rsidRPr="00367FA3">
              <w:rPr>
                <w:rFonts w:ascii="Century" w:hAnsi="Century" w:cs="Arial"/>
                <w:lang w:val="tr-TR"/>
              </w:rPr>
              <w:t xml:space="preserve"> yılında sigortacılık </w:t>
            </w:r>
            <w:r w:rsidRPr="008F74DE">
              <w:rPr>
                <w:rFonts w:ascii="Century" w:hAnsi="Century" w:cs="Arial"/>
                <w:lang w:val="tr-TR"/>
              </w:rPr>
              <w:t>sektörünün varlık toplamı bir önceki yıla göre %</w:t>
            </w:r>
            <w:r w:rsidR="007C2ED8" w:rsidRPr="008F74DE">
              <w:rPr>
                <w:rFonts w:ascii="Century" w:hAnsi="Century" w:cs="Arial"/>
                <w:lang w:val="tr-TR"/>
              </w:rPr>
              <w:t xml:space="preserve"> </w:t>
            </w:r>
            <w:r w:rsidRPr="008F74DE">
              <w:rPr>
                <w:rFonts w:ascii="Century" w:hAnsi="Century" w:cs="Arial"/>
                <w:lang w:val="tr-TR"/>
              </w:rPr>
              <w:t>2</w:t>
            </w:r>
            <w:r w:rsidR="008F74DE" w:rsidRPr="008F74DE">
              <w:rPr>
                <w:rFonts w:ascii="Century" w:hAnsi="Century" w:cs="Arial"/>
                <w:lang w:val="tr-TR"/>
              </w:rPr>
              <w:t>5</w:t>
            </w:r>
            <w:r w:rsidRPr="008F74DE">
              <w:rPr>
                <w:rFonts w:ascii="Century" w:hAnsi="Century" w:cs="Arial"/>
                <w:lang w:val="tr-TR"/>
              </w:rPr>
              <w:t xml:space="preserve"> oranında artışla </w:t>
            </w:r>
            <w:r w:rsidR="008F74DE" w:rsidRPr="008F74DE">
              <w:rPr>
                <w:rFonts w:ascii="Century" w:hAnsi="Century" w:cs="Arial"/>
                <w:lang w:val="tr-TR"/>
              </w:rPr>
              <w:t>23,4</w:t>
            </w:r>
            <w:r w:rsidRPr="008F74DE">
              <w:rPr>
                <w:rFonts w:ascii="Century" w:hAnsi="Century" w:cs="Arial"/>
                <w:lang w:val="tr-TR"/>
              </w:rPr>
              <w:t xml:space="preserve"> milyar YTL’ye, prim üretimi %</w:t>
            </w:r>
            <w:r w:rsidR="007C2ED8" w:rsidRPr="008F74DE">
              <w:rPr>
                <w:rFonts w:ascii="Century" w:hAnsi="Century" w:cs="Arial"/>
                <w:lang w:val="tr-TR"/>
              </w:rPr>
              <w:t xml:space="preserve"> </w:t>
            </w:r>
            <w:r w:rsidR="008F74DE" w:rsidRPr="008F74DE">
              <w:rPr>
                <w:rFonts w:ascii="Century" w:hAnsi="Century" w:cs="Arial"/>
                <w:lang w:val="tr-TR"/>
              </w:rPr>
              <w:t>13</w:t>
            </w:r>
            <w:r w:rsidRPr="008F74DE">
              <w:rPr>
                <w:rFonts w:ascii="Century" w:hAnsi="Century" w:cs="Arial"/>
                <w:lang w:val="tr-TR"/>
              </w:rPr>
              <w:t xml:space="preserve"> oranında artışla </w:t>
            </w:r>
            <w:r w:rsidR="008F74DE" w:rsidRPr="008F74DE">
              <w:rPr>
                <w:rFonts w:ascii="Century" w:hAnsi="Century" w:cs="Arial"/>
                <w:lang w:val="tr-TR"/>
              </w:rPr>
              <w:t>10,9</w:t>
            </w:r>
            <w:r w:rsidRPr="008F74DE">
              <w:rPr>
                <w:rFonts w:ascii="Century" w:hAnsi="Century" w:cs="Arial"/>
                <w:lang w:val="tr-TR"/>
              </w:rPr>
              <w:t xml:space="preserve"> milyar YTL’ye, poliçe sayısı ise %</w:t>
            </w:r>
            <w:r w:rsidR="007C2ED8" w:rsidRPr="008F74DE">
              <w:rPr>
                <w:rFonts w:ascii="Century" w:hAnsi="Century" w:cs="Arial"/>
                <w:lang w:val="tr-TR"/>
              </w:rPr>
              <w:t xml:space="preserve"> </w:t>
            </w:r>
            <w:r w:rsidRPr="008F74DE">
              <w:rPr>
                <w:rFonts w:ascii="Century" w:hAnsi="Century" w:cs="Arial"/>
                <w:lang w:val="tr-TR"/>
              </w:rPr>
              <w:t>1</w:t>
            </w:r>
            <w:r w:rsidR="008F74DE" w:rsidRPr="008F74DE">
              <w:rPr>
                <w:rFonts w:ascii="Century" w:hAnsi="Century" w:cs="Arial"/>
                <w:lang w:val="tr-TR"/>
              </w:rPr>
              <w:t>4</w:t>
            </w:r>
            <w:r w:rsidRPr="008F74DE">
              <w:rPr>
                <w:rFonts w:ascii="Century" w:hAnsi="Century" w:cs="Arial"/>
                <w:lang w:val="tr-TR"/>
              </w:rPr>
              <w:t xml:space="preserve"> oranında artışla 3</w:t>
            </w:r>
            <w:r w:rsidR="008F74DE" w:rsidRPr="008F74DE">
              <w:rPr>
                <w:rFonts w:ascii="Century" w:hAnsi="Century" w:cs="Arial"/>
                <w:lang w:val="tr-TR"/>
              </w:rPr>
              <w:t>8</w:t>
            </w:r>
            <w:r w:rsidRPr="008F74DE">
              <w:rPr>
                <w:rFonts w:ascii="Century" w:hAnsi="Century" w:cs="Arial"/>
                <w:lang w:val="tr-TR"/>
              </w:rPr>
              <w:t xml:space="preserve"> milyon adede</w:t>
            </w:r>
            <w:r w:rsidR="00105640" w:rsidRPr="008F74DE">
              <w:rPr>
                <w:rFonts w:ascii="Century" w:hAnsi="Century" w:cs="Arial"/>
                <w:lang w:val="tr-TR"/>
              </w:rPr>
              <w:t xml:space="preserve"> ulaşmıştır. Diğer taraftan 2007</w:t>
            </w:r>
            <w:r w:rsidRPr="008F74DE">
              <w:rPr>
                <w:rFonts w:ascii="Century" w:hAnsi="Century" w:cs="Arial"/>
                <w:lang w:val="tr-TR"/>
              </w:rPr>
              <w:t xml:space="preserve"> yıl sonu itibariyle Bireysel Emeklilik Sistemindeki katılımcı sayısı 1,</w:t>
            </w:r>
            <w:r w:rsidR="008F74DE" w:rsidRPr="008F74DE">
              <w:rPr>
                <w:rFonts w:ascii="Century" w:hAnsi="Century" w:cs="Arial"/>
                <w:lang w:val="tr-TR"/>
              </w:rPr>
              <w:t>5</w:t>
            </w:r>
            <w:r w:rsidRPr="008F74DE">
              <w:rPr>
                <w:rFonts w:ascii="Century" w:hAnsi="Century" w:cs="Arial"/>
                <w:lang w:val="tr-TR"/>
              </w:rPr>
              <w:t xml:space="preserve"> milyonu ve sözleşme sayısı 1,</w:t>
            </w:r>
            <w:r w:rsidR="008F74DE" w:rsidRPr="008F74DE">
              <w:rPr>
                <w:rFonts w:ascii="Century" w:hAnsi="Century" w:cs="Arial"/>
                <w:lang w:val="tr-TR"/>
              </w:rPr>
              <w:t>6</w:t>
            </w:r>
            <w:r w:rsidRPr="008F74DE">
              <w:rPr>
                <w:rFonts w:ascii="Century" w:hAnsi="Century" w:cs="Arial"/>
                <w:lang w:val="tr-TR"/>
              </w:rPr>
              <w:t xml:space="preserve"> milyonu aşmış, sistemde toplanan fon tutarı ise </w:t>
            </w:r>
            <w:r w:rsidR="008F74DE" w:rsidRPr="008F74DE">
              <w:rPr>
                <w:rFonts w:ascii="Century" w:hAnsi="Century" w:cs="Arial"/>
                <w:lang w:val="tr-TR"/>
              </w:rPr>
              <w:t>4,6</w:t>
            </w:r>
            <w:r w:rsidRPr="008F74DE">
              <w:rPr>
                <w:rFonts w:ascii="Century" w:hAnsi="Century" w:cs="Arial"/>
                <w:lang w:val="tr-TR"/>
              </w:rPr>
              <w:t xml:space="preserve"> milyar YTL’ye ulaşmıştır. Bu gelişmeler</w:t>
            </w:r>
            <w:r w:rsidRPr="00367FA3">
              <w:rPr>
                <w:rFonts w:ascii="Century" w:hAnsi="Century" w:cs="Arial"/>
                <w:lang w:val="tr-TR"/>
              </w:rPr>
              <w:t xml:space="preserve">, sigortacılık sektörünün sahip olduğu potansiyelin hayata geçirilmesi bakımından ümit verici bulunmaktadır. </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lang w:val="tr-TR"/>
              </w:rPr>
            </w:pPr>
            <w:r w:rsidRPr="00367FA3">
              <w:rPr>
                <w:rFonts w:ascii="Century" w:hAnsi="Century" w:cs="Arial"/>
                <w:lang w:val="tr-TR"/>
              </w:rPr>
              <w:t>Ülkemiz sigortacılığı için bir kilometre taşı olarak kabu</w:t>
            </w:r>
            <w:r w:rsidR="006A5C30">
              <w:rPr>
                <w:rFonts w:ascii="Century" w:hAnsi="Century" w:cs="Arial"/>
                <w:lang w:val="tr-TR"/>
              </w:rPr>
              <w:t>l edilebilebilecek gelişme de, 5684 sayılı</w:t>
            </w:r>
            <w:r w:rsidRPr="00367FA3">
              <w:rPr>
                <w:rFonts w:ascii="Century" w:hAnsi="Century" w:cs="Arial"/>
                <w:lang w:val="tr-TR"/>
              </w:rPr>
              <w:t xml:space="preserve"> Sigortacılık Kanunu’nun 2007 yılı Haziran ayı içinde yürürlüğe girmesidir. Söz konusu Kanun, </w:t>
            </w:r>
            <w:r w:rsidRPr="00367FA3">
              <w:rPr>
                <w:rFonts w:ascii="Century" w:hAnsi="Century"/>
                <w:lang w:val="tr-TR"/>
              </w:rPr>
              <w:t xml:space="preserve">Müsteşarlığımız tarafından AB normları dikkate alınarak, başta sigortalılar olmak üzere sektörde yer alan tüm kurum ve kuruluşların ihtiyaçlarına </w:t>
            </w:r>
            <w:r w:rsidR="00740993" w:rsidRPr="00367FA3">
              <w:rPr>
                <w:rFonts w:ascii="Century" w:hAnsi="Century"/>
                <w:sz w:val="23"/>
                <w:szCs w:val="23"/>
                <w:lang w:val="tr-TR"/>
              </w:rPr>
              <w:t xml:space="preserve">cevap verebilecek nitelikte </w:t>
            </w:r>
            <w:r w:rsidRPr="00367FA3">
              <w:rPr>
                <w:rFonts w:ascii="Century" w:hAnsi="Century"/>
                <w:sz w:val="23"/>
                <w:szCs w:val="23"/>
                <w:lang w:val="tr-TR"/>
              </w:rPr>
              <w:t>hazırlanmıştır.</w:t>
            </w:r>
          </w:p>
          <w:p w:rsidR="00403C2A" w:rsidRDefault="00403C2A" w:rsidP="00403C2A">
            <w:pPr>
              <w:jc w:val="both"/>
              <w:rPr>
                <w:rFonts w:ascii="Century" w:hAnsi="Century" w:cs="Arial"/>
                <w:lang w:val="tr-TR"/>
              </w:rPr>
            </w:pPr>
          </w:p>
          <w:p w:rsidR="00ED072C" w:rsidRDefault="00ED072C"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lastRenderedPageBreak/>
              <w:t>Sigortacılığın geliştirilmesi ve bilimsel esaslar dahilinde yürütülebilmesi için sektöre ait verilerin sağlıklı ve güvenilir bir biçimde toplanması ve analiz edilmesi büyük önem taşımaktadır. Müsteşarlığımız Sigorta Denetleme Kurulu tarafından 1963 yılından beri her yıl düzenli olara</w:t>
            </w:r>
            <w:r w:rsidR="00FC3F2A">
              <w:rPr>
                <w:rFonts w:ascii="Century" w:hAnsi="Century" w:cs="Arial"/>
                <w:lang w:val="tr-TR"/>
              </w:rPr>
              <w:t>k yayınlanmakta olan ve son beş</w:t>
            </w:r>
            <w:r w:rsidRPr="00367FA3">
              <w:rPr>
                <w:rFonts w:ascii="Century" w:hAnsi="Century" w:cs="Arial"/>
                <w:lang w:val="tr-TR"/>
              </w:rPr>
              <w:t xml:space="preserve"> yıldır bireysel emeklilik faaliyetlerini de kapsayacak şekilde hazırlanan Türkiye’de Sigorta</w:t>
            </w:r>
            <w:r w:rsidR="007C2ED8" w:rsidRPr="00367FA3">
              <w:rPr>
                <w:rFonts w:ascii="Century" w:hAnsi="Century" w:cs="Arial"/>
                <w:lang w:val="tr-TR"/>
              </w:rPr>
              <w:t>cılık</w:t>
            </w:r>
            <w:r w:rsidRPr="00367FA3">
              <w:rPr>
                <w:rFonts w:ascii="Century" w:hAnsi="Century" w:cs="Arial"/>
                <w:lang w:val="tr-TR"/>
              </w:rPr>
              <w:t xml:space="preserve"> ve Bireysel Emeklilik Faaliyetleri Hakkında Rapor, Türk Sigortacılık Sektörü hakkında ayrıntılı ve güvenilir verileri içeren temel bir kaynak özelliği taşımaktadır. </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Raporun, sektöre, akademisyenlere, araştırmacılara ve tüm ilgililere faydalı olmasını temenni ederim.</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b/>
                <w:lang w:val="tr-TR"/>
              </w:rPr>
            </w:pPr>
            <w:r w:rsidRPr="00367FA3">
              <w:rPr>
                <w:rFonts w:ascii="Century" w:hAnsi="Century" w:cs="Arial"/>
                <w:b/>
                <w:lang w:val="tr-TR"/>
              </w:rPr>
              <w:t>İbrahim H. ÇANAKCI</w:t>
            </w:r>
          </w:p>
          <w:p w:rsidR="00403C2A" w:rsidRPr="00367FA3" w:rsidRDefault="00403C2A" w:rsidP="00403C2A">
            <w:pPr>
              <w:jc w:val="both"/>
              <w:rPr>
                <w:rFonts w:ascii="Century" w:hAnsi="Century" w:cs="Arial"/>
                <w:b/>
                <w:lang w:val="tr-TR"/>
              </w:rPr>
            </w:pPr>
            <w:r w:rsidRPr="00367FA3">
              <w:rPr>
                <w:rFonts w:ascii="Century" w:hAnsi="Century" w:cs="Arial"/>
                <w:b/>
                <w:lang w:val="tr-TR"/>
              </w:rPr>
              <w:t>Hazine Müsteşarı</w:t>
            </w:r>
          </w:p>
          <w:p w:rsidR="00403C2A" w:rsidRPr="00367FA3" w:rsidRDefault="00403C2A" w:rsidP="00403C2A">
            <w:pPr>
              <w:jc w:val="both"/>
              <w:rPr>
                <w:rFonts w:ascii="Century" w:hAnsi="Century" w:cs="Arial"/>
                <w:b/>
                <w:i/>
                <w:color w:val="595959"/>
                <w:lang w:val="tr-TR"/>
              </w:rPr>
            </w:pPr>
            <w:r w:rsidRPr="00367FA3">
              <w:rPr>
                <w:rFonts w:ascii="Century" w:hAnsi="Century" w:cs="Arial"/>
                <w:b/>
                <w:i/>
                <w:color w:val="595959"/>
              </w:rPr>
              <w:t>Undersecretary of Treasury</w:t>
            </w:r>
          </w:p>
        </w:tc>
        <w:tc>
          <w:tcPr>
            <w:tcW w:w="236" w:type="dxa"/>
          </w:tcPr>
          <w:p w:rsidR="00403C2A" w:rsidRPr="00367FA3" w:rsidRDefault="00403C2A" w:rsidP="00584A9C">
            <w:pPr>
              <w:rPr>
                <w:rFonts w:ascii="Century" w:hAnsi="Century"/>
                <w:lang w:val="tr-TR"/>
              </w:rPr>
            </w:pPr>
          </w:p>
        </w:tc>
        <w:tc>
          <w:tcPr>
            <w:tcW w:w="4804" w:type="dxa"/>
          </w:tcPr>
          <w:p w:rsidR="00403C2A" w:rsidRPr="00876741" w:rsidRDefault="00403C2A" w:rsidP="00403C2A">
            <w:pPr>
              <w:tabs>
                <w:tab w:val="left" w:pos="720"/>
                <w:tab w:val="center" w:pos="4536"/>
              </w:tabs>
              <w:jc w:val="center"/>
              <w:rPr>
                <w:rFonts w:ascii="Century" w:hAnsi="Century"/>
                <w:b/>
                <w:color w:val="595959"/>
                <w:lang w:val="tr-TR"/>
              </w:rPr>
            </w:pPr>
            <w:r w:rsidRPr="00876741">
              <w:rPr>
                <w:rFonts w:ascii="Century" w:hAnsi="Century"/>
                <w:b/>
                <w:color w:val="595959"/>
                <w:lang w:val="tr-TR"/>
              </w:rPr>
              <w:t>PREFACE</w:t>
            </w:r>
          </w:p>
          <w:p w:rsidR="00403C2A" w:rsidRPr="00876741" w:rsidRDefault="00403C2A" w:rsidP="00403C2A">
            <w:pPr>
              <w:tabs>
                <w:tab w:val="left" w:pos="720"/>
                <w:tab w:val="center" w:pos="4536"/>
              </w:tabs>
              <w:jc w:val="center"/>
              <w:rPr>
                <w:rFonts w:ascii="Century" w:hAnsi="Century"/>
                <w:color w:val="595959"/>
                <w:lang w:val="tr-TR"/>
              </w:rPr>
            </w:pPr>
          </w:p>
          <w:p w:rsidR="00403C2A" w:rsidRPr="00876741" w:rsidRDefault="00403C2A" w:rsidP="00403C2A">
            <w:pPr>
              <w:tabs>
                <w:tab w:val="left" w:pos="720"/>
                <w:tab w:val="center" w:pos="4536"/>
              </w:tabs>
              <w:jc w:val="center"/>
              <w:rPr>
                <w:rFonts w:ascii="Century" w:hAnsi="Century"/>
                <w:color w:val="595959"/>
                <w:lang w:val="tr-TR"/>
              </w:rPr>
            </w:pPr>
          </w:p>
          <w:p w:rsidR="00DA3E5E" w:rsidRPr="00876741" w:rsidRDefault="00DA3E5E" w:rsidP="00DA3E5E">
            <w:pPr>
              <w:tabs>
                <w:tab w:val="left" w:pos="720"/>
                <w:tab w:val="center" w:pos="4536"/>
              </w:tabs>
              <w:jc w:val="both"/>
              <w:rPr>
                <w:rFonts w:ascii="Century" w:hAnsi="Century"/>
                <w:color w:val="595959"/>
              </w:rPr>
            </w:pPr>
            <w:r w:rsidRPr="00DA3E5E">
              <w:rPr>
                <w:rFonts w:ascii="Century" w:hAnsi="Century"/>
                <w:color w:val="595959"/>
              </w:rPr>
              <w:t>Insurance both removes the perils exposed by insurance holders by transferring risk, and contributes to the country’s economic development and its stability by accumulating funds. As a result of these characteristics, insurance has a crucial role in national economy and financial markets of developed countries.</w:t>
            </w:r>
          </w:p>
          <w:p w:rsidR="00403C2A" w:rsidRDefault="00403C2A" w:rsidP="00403C2A">
            <w:pPr>
              <w:tabs>
                <w:tab w:val="left" w:pos="720"/>
                <w:tab w:val="center" w:pos="4536"/>
              </w:tabs>
              <w:jc w:val="both"/>
              <w:rPr>
                <w:rFonts w:ascii="Century" w:hAnsi="Century"/>
                <w:color w:val="404040"/>
              </w:rPr>
            </w:pPr>
          </w:p>
          <w:p w:rsidR="00DA3E5E" w:rsidRPr="00CF3FF2" w:rsidRDefault="00DA3E5E" w:rsidP="00403C2A">
            <w:pPr>
              <w:tabs>
                <w:tab w:val="left" w:pos="720"/>
                <w:tab w:val="center" w:pos="4536"/>
              </w:tabs>
              <w:jc w:val="both"/>
              <w:rPr>
                <w:rFonts w:ascii="Century" w:hAnsi="Century"/>
                <w:color w:val="404040"/>
              </w:rPr>
            </w:pPr>
          </w:p>
          <w:p w:rsidR="00F336D3" w:rsidRPr="00876741" w:rsidRDefault="00F336D3" w:rsidP="00F336D3">
            <w:pPr>
              <w:tabs>
                <w:tab w:val="left" w:pos="720"/>
                <w:tab w:val="center" w:pos="4536"/>
              </w:tabs>
              <w:jc w:val="both"/>
              <w:rPr>
                <w:rFonts w:ascii="Century" w:hAnsi="Century"/>
                <w:color w:val="595959"/>
              </w:rPr>
            </w:pPr>
            <w:r w:rsidRPr="00F336D3">
              <w:rPr>
                <w:rFonts w:ascii="Century" w:hAnsi="Century"/>
                <w:color w:val="595959"/>
              </w:rPr>
              <w:t>Although the insurability capacity has not reached the expected level in our country, in recent years, there have been important developments in the insurance sector parallel to the economic growth. As stated in the Report, the assets of the sector have become 23,4 billion New Turkish Liras (YTL) by an increase at a ratio of 25%, meanwhile the production of premium has reached to 10,9 billion YTL by increasing at a ratio of 13%. The number of the insurance policies has exceeded 38 million by an increase at a ratio of 14% according to last year number. On the other hand, the number of contributor to the Private Pension System has reached to 1.5 million; simultaneously the number of the pension contracts has been 1.6 million. On the other hand, pension funds have accumulated 4,6 million YTL. These progresses illustrates that the potential of the national insurance is hopeful.</w:t>
            </w:r>
          </w:p>
          <w:p w:rsidR="00403C2A" w:rsidRPr="00CF3FF2" w:rsidRDefault="00403C2A" w:rsidP="00403C2A">
            <w:pPr>
              <w:tabs>
                <w:tab w:val="left" w:pos="720"/>
                <w:tab w:val="center" w:pos="4536"/>
              </w:tabs>
              <w:jc w:val="both"/>
              <w:rPr>
                <w:rFonts w:ascii="Century" w:hAnsi="Century"/>
                <w:color w:val="404040"/>
              </w:rPr>
            </w:pPr>
          </w:p>
          <w:p w:rsidR="00403C2A" w:rsidRPr="00CF3FF2" w:rsidRDefault="00403C2A" w:rsidP="00403C2A">
            <w:pPr>
              <w:tabs>
                <w:tab w:val="left" w:pos="720"/>
                <w:tab w:val="center" w:pos="4536"/>
              </w:tabs>
              <w:jc w:val="both"/>
              <w:rPr>
                <w:rFonts w:ascii="Century" w:hAnsi="Century"/>
                <w:color w:val="404040"/>
              </w:rPr>
            </w:pPr>
            <w:r w:rsidRPr="00CF3FF2">
              <w:rPr>
                <w:rFonts w:ascii="Century" w:hAnsi="Century"/>
                <w:color w:val="404040"/>
              </w:rPr>
              <w:t xml:space="preserve">Leading development in our insurance sector is that Turkish Insurance Law came into force in June, 2007. Insurance Law has been prepared in accordance with EU norms and needs of individuals, corporations and institutions in insurance sector.   </w:t>
            </w:r>
          </w:p>
          <w:p w:rsidR="00403C2A" w:rsidRPr="00CF3FF2" w:rsidRDefault="00403C2A" w:rsidP="00403C2A">
            <w:pPr>
              <w:tabs>
                <w:tab w:val="left" w:pos="720"/>
                <w:tab w:val="center" w:pos="4536"/>
              </w:tabs>
              <w:jc w:val="both"/>
              <w:rPr>
                <w:rFonts w:ascii="Century" w:hAnsi="Century"/>
                <w:color w:val="404040"/>
              </w:rPr>
            </w:pPr>
          </w:p>
          <w:p w:rsidR="009159F9" w:rsidRDefault="009159F9" w:rsidP="00403C2A">
            <w:pPr>
              <w:tabs>
                <w:tab w:val="left" w:pos="720"/>
                <w:tab w:val="center" w:pos="4536"/>
              </w:tabs>
              <w:jc w:val="both"/>
              <w:rPr>
                <w:rFonts w:ascii="Century" w:hAnsi="Century"/>
                <w:color w:val="404040"/>
              </w:rPr>
            </w:pPr>
          </w:p>
          <w:p w:rsidR="00ED072C" w:rsidRPr="00CF3FF2" w:rsidRDefault="00ED072C" w:rsidP="00403C2A">
            <w:pPr>
              <w:tabs>
                <w:tab w:val="left" w:pos="720"/>
                <w:tab w:val="center" w:pos="4536"/>
              </w:tabs>
              <w:jc w:val="both"/>
              <w:rPr>
                <w:rFonts w:ascii="Century" w:hAnsi="Century"/>
                <w:color w:val="404040"/>
              </w:rPr>
            </w:pPr>
          </w:p>
          <w:p w:rsidR="00403C2A" w:rsidRPr="00CF3FF2" w:rsidRDefault="00403C2A" w:rsidP="00403C2A">
            <w:pPr>
              <w:tabs>
                <w:tab w:val="left" w:pos="720"/>
                <w:tab w:val="center" w:pos="4536"/>
              </w:tabs>
              <w:jc w:val="both"/>
              <w:rPr>
                <w:rFonts w:ascii="Century" w:hAnsi="Century"/>
                <w:color w:val="404040"/>
              </w:rPr>
            </w:pPr>
            <w:r w:rsidRPr="00CF3FF2">
              <w:rPr>
                <w:rFonts w:ascii="Century" w:hAnsi="Century"/>
                <w:color w:val="404040"/>
              </w:rPr>
              <w:lastRenderedPageBreak/>
              <w:t>In order to develop and execute the national insurance sector on the scientific basis, it is very important to acquire and analyze th</w:t>
            </w:r>
            <w:r w:rsidR="004B5E4E">
              <w:rPr>
                <w:rFonts w:ascii="Century" w:hAnsi="Century"/>
                <w:color w:val="404040"/>
              </w:rPr>
              <w:t>e sector data reliably. Report A</w:t>
            </w:r>
            <w:r w:rsidRPr="00CF3FF2">
              <w:rPr>
                <w:rFonts w:ascii="Century" w:hAnsi="Century"/>
                <w:color w:val="404040"/>
              </w:rPr>
              <w:t xml:space="preserve">bout Insurance and Private Pension Activities, which has been published annually by Insurance Supervisory Board since 1963, is a basic resource enclosing reliable and detailed data about the Turkish Insurance Sector. </w:t>
            </w:r>
          </w:p>
          <w:p w:rsidR="00403C2A" w:rsidRPr="00CF3FF2" w:rsidRDefault="00403C2A" w:rsidP="00403C2A">
            <w:pPr>
              <w:tabs>
                <w:tab w:val="left" w:pos="720"/>
                <w:tab w:val="center" w:pos="4536"/>
              </w:tabs>
              <w:jc w:val="both"/>
              <w:rPr>
                <w:rFonts w:ascii="Century" w:hAnsi="Century"/>
                <w:color w:val="404040"/>
              </w:rPr>
            </w:pPr>
          </w:p>
          <w:p w:rsidR="00740993" w:rsidRPr="00CF3FF2" w:rsidRDefault="00740993" w:rsidP="00403C2A">
            <w:pPr>
              <w:rPr>
                <w:rFonts w:ascii="Century" w:hAnsi="Century" w:cs="Arial"/>
                <w:color w:val="404040"/>
              </w:rPr>
            </w:pPr>
          </w:p>
          <w:p w:rsidR="00740993" w:rsidRPr="00CF3FF2" w:rsidRDefault="00740993" w:rsidP="00403C2A">
            <w:pPr>
              <w:rPr>
                <w:rFonts w:ascii="Century" w:hAnsi="Century" w:cs="Arial"/>
                <w:color w:val="404040"/>
              </w:rPr>
            </w:pPr>
          </w:p>
          <w:p w:rsidR="00740993" w:rsidRPr="00CF3FF2" w:rsidRDefault="00740993" w:rsidP="00403C2A">
            <w:pPr>
              <w:rPr>
                <w:rFonts w:ascii="Century" w:hAnsi="Century" w:cs="Arial"/>
                <w:color w:val="404040"/>
              </w:rPr>
            </w:pPr>
          </w:p>
          <w:p w:rsidR="00740993" w:rsidRPr="00CF3FF2" w:rsidRDefault="00740993" w:rsidP="00403C2A">
            <w:pPr>
              <w:rPr>
                <w:rFonts w:ascii="Century" w:hAnsi="Century" w:cs="Arial"/>
                <w:color w:val="404040"/>
              </w:rPr>
            </w:pPr>
          </w:p>
          <w:p w:rsidR="00740993" w:rsidRPr="00CF3FF2" w:rsidRDefault="00740993" w:rsidP="00403C2A">
            <w:pPr>
              <w:rPr>
                <w:rFonts w:ascii="Century" w:hAnsi="Century" w:cs="Arial"/>
                <w:color w:val="404040"/>
              </w:rPr>
            </w:pPr>
          </w:p>
          <w:p w:rsidR="00740993" w:rsidRPr="00CF3FF2" w:rsidRDefault="00740993" w:rsidP="00403C2A">
            <w:pPr>
              <w:rPr>
                <w:rFonts w:ascii="Century" w:hAnsi="Century" w:cs="Arial"/>
                <w:color w:val="404040"/>
              </w:rPr>
            </w:pPr>
          </w:p>
          <w:p w:rsidR="00403C2A" w:rsidRPr="00876741" w:rsidRDefault="00403C2A" w:rsidP="00403C2A">
            <w:pPr>
              <w:rPr>
                <w:rFonts w:ascii="Century" w:hAnsi="Century"/>
                <w:color w:val="7F7F7F"/>
                <w:lang w:val="tr-TR"/>
              </w:rPr>
            </w:pPr>
            <w:r w:rsidRPr="00CF3FF2">
              <w:rPr>
                <w:rFonts w:ascii="Century" w:hAnsi="Century" w:cs="Arial"/>
                <w:color w:val="404040"/>
              </w:rPr>
              <w:t>I wish this Report would be beneficial to the sector, academics and all people who concern.</w:t>
            </w:r>
          </w:p>
        </w:tc>
      </w:tr>
    </w:tbl>
    <w:p w:rsidR="009159F9" w:rsidRPr="00367FA3" w:rsidRDefault="009159F9"/>
    <w:p w:rsidR="009159F9" w:rsidRPr="00367FA3" w:rsidRDefault="009159F9"/>
    <w:p w:rsidR="009159F9" w:rsidRPr="00367FA3" w:rsidRDefault="009159F9" w:rsidP="009159F9">
      <w:pPr>
        <w:tabs>
          <w:tab w:val="left" w:pos="1851"/>
        </w:tabs>
      </w:pPr>
      <w:r w:rsidRPr="00367FA3">
        <w:tab/>
      </w:r>
    </w:p>
    <w:p w:rsidR="00403C2A" w:rsidRPr="00367FA3" w:rsidRDefault="00403C2A">
      <w:r w:rsidRPr="00367FA3">
        <w:br w:type="page"/>
      </w:r>
    </w:p>
    <w:tbl>
      <w:tblPr>
        <w:tblW w:w="9855" w:type="dxa"/>
        <w:tblInd w:w="-252" w:type="dxa"/>
        <w:tblLayout w:type="fixed"/>
        <w:tblLook w:val="04A0" w:firstRow="1" w:lastRow="0" w:firstColumn="1" w:lastColumn="0" w:noHBand="0" w:noVBand="1"/>
      </w:tblPr>
      <w:tblGrid>
        <w:gridCol w:w="4815"/>
        <w:gridCol w:w="236"/>
        <w:gridCol w:w="4804"/>
      </w:tblGrid>
      <w:tr w:rsidR="00403C2A" w:rsidRPr="00367FA3">
        <w:tc>
          <w:tcPr>
            <w:tcW w:w="4815" w:type="dxa"/>
          </w:tcPr>
          <w:p w:rsidR="00403C2A" w:rsidRPr="00367FA3" w:rsidRDefault="00403C2A" w:rsidP="00403C2A">
            <w:pPr>
              <w:tabs>
                <w:tab w:val="left" w:pos="720"/>
                <w:tab w:val="center" w:pos="4536"/>
              </w:tabs>
              <w:jc w:val="center"/>
              <w:rPr>
                <w:rFonts w:ascii="Century" w:hAnsi="Century" w:cs="Arial"/>
                <w:b/>
                <w:lang w:val="tr-TR"/>
              </w:rPr>
            </w:pPr>
            <w:r w:rsidRPr="00367FA3">
              <w:rPr>
                <w:rFonts w:ascii="Century" w:hAnsi="Century" w:cs="Arial"/>
                <w:b/>
                <w:lang w:val="tr-TR"/>
              </w:rPr>
              <w:t>SUNUŞ</w:t>
            </w:r>
          </w:p>
          <w:p w:rsidR="00403C2A" w:rsidRPr="00367FA3" w:rsidRDefault="00403C2A" w:rsidP="00403C2A">
            <w:pPr>
              <w:rPr>
                <w:rFonts w:ascii="Century" w:hAnsi="Century" w:cs="Arial"/>
                <w:lang w:val="tr-TR"/>
              </w:rPr>
            </w:pPr>
          </w:p>
          <w:p w:rsidR="00403C2A" w:rsidRPr="00367FA3" w:rsidRDefault="00403C2A" w:rsidP="00403C2A">
            <w:pPr>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1963 yılından bu yana Kurulumuz tarafından her yıl yayınlanan ve 2004 yılından itibaren bireysel emeklilik faaliyet sonuçlarını da içeren Türkiye’de Sigorta</w:t>
            </w:r>
            <w:r w:rsidR="007C2ED8" w:rsidRPr="00367FA3">
              <w:rPr>
                <w:rFonts w:ascii="Century" w:hAnsi="Century" w:cs="Arial"/>
                <w:lang w:val="tr-TR"/>
              </w:rPr>
              <w:t>cılık</w:t>
            </w:r>
            <w:r w:rsidRPr="00367FA3">
              <w:rPr>
                <w:rFonts w:ascii="Century" w:hAnsi="Century" w:cs="Arial"/>
                <w:lang w:val="tr-TR"/>
              </w:rPr>
              <w:t xml:space="preserve"> ve Bireysel Emeklilik Faaliyetleri Hakkında Rapor, Türk Sigortacılık Sektörü hakkında en detaylı verileri içermekte ve sektörde faaliyet gösteren tüm sigorta, reasürans ve bireysel emeklilik şirketlerinin faaliyet sonuçlarını kapsamaktadır.</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Sigortacılık sektöründe meydana gelen gelişmeler, ortaya çıkan yeni ihtiyaçlar ve önceki yıllarda yayımlanan raporlarla ilgili gelen görüşler dikkate alınarak  her yıl içerik, kapsam ve dizayn açısından yenilenen ve bu yıl 4</w:t>
            </w:r>
            <w:r w:rsidR="000C0C73" w:rsidRPr="00367FA3">
              <w:rPr>
                <w:rFonts w:ascii="Century" w:hAnsi="Century" w:cs="Arial"/>
                <w:lang w:val="tr-TR"/>
              </w:rPr>
              <w:t>5</w:t>
            </w:r>
            <w:r w:rsidRPr="00367FA3">
              <w:rPr>
                <w:rFonts w:ascii="Century" w:hAnsi="Century" w:cs="Arial"/>
                <w:lang w:val="tr-TR"/>
              </w:rPr>
              <w:t>’</w:t>
            </w:r>
            <w:r w:rsidR="000C0C73" w:rsidRPr="00367FA3">
              <w:rPr>
                <w:rFonts w:ascii="Century" w:hAnsi="Century" w:cs="Arial"/>
                <w:lang w:val="tr-TR"/>
              </w:rPr>
              <w:t>incisi</w:t>
            </w:r>
            <w:r w:rsidRPr="00367FA3">
              <w:rPr>
                <w:rFonts w:ascii="Century" w:hAnsi="Century" w:cs="Arial"/>
                <w:lang w:val="tr-TR"/>
              </w:rPr>
              <w:t xml:space="preserve"> yayımlanan bu</w:t>
            </w:r>
            <w:r w:rsidR="008F74DE">
              <w:rPr>
                <w:rFonts w:ascii="Century" w:hAnsi="Century" w:cs="Arial"/>
                <w:lang w:val="tr-TR"/>
              </w:rPr>
              <w:t xml:space="preserve"> </w:t>
            </w:r>
            <w:r w:rsidRPr="00367FA3">
              <w:rPr>
                <w:rFonts w:ascii="Century" w:hAnsi="Century" w:cs="Arial"/>
                <w:lang w:val="tr-TR"/>
              </w:rPr>
              <w:t>Rapor, sektörün 200</w:t>
            </w:r>
            <w:r w:rsidR="000C0C73" w:rsidRPr="00367FA3">
              <w:rPr>
                <w:rFonts w:ascii="Century" w:hAnsi="Century" w:cs="Arial"/>
                <w:lang w:val="tr-TR"/>
              </w:rPr>
              <w:t>7</w:t>
            </w:r>
            <w:r w:rsidRPr="00367FA3">
              <w:rPr>
                <w:rFonts w:ascii="Century" w:hAnsi="Century" w:cs="Arial"/>
                <w:lang w:val="tr-TR"/>
              </w:rPr>
              <w:t xml:space="preserve"> yılı faaliyet sonuçlarını içermekte ve 4 ana bölümden oluşmaktadır.   </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Raporun “Türkiye’de Sigorta</w:t>
            </w:r>
            <w:r w:rsidR="007C2ED8" w:rsidRPr="00367FA3">
              <w:rPr>
                <w:rFonts w:ascii="Century" w:hAnsi="Century" w:cs="Arial"/>
                <w:lang w:val="tr-TR"/>
              </w:rPr>
              <w:t>cılık</w:t>
            </w:r>
            <w:r w:rsidRPr="00367FA3">
              <w:rPr>
                <w:rFonts w:ascii="Century" w:hAnsi="Century" w:cs="Arial"/>
                <w:lang w:val="tr-TR"/>
              </w:rPr>
              <w:t xml:space="preserve"> ve Bireysel Emeklilik</w:t>
            </w:r>
            <w:r w:rsidR="00D168AC">
              <w:rPr>
                <w:rFonts w:ascii="Century" w:hAnsi="Century" w:cs="Arial"/>
                <w:lang w:val="tr-TR"/>
              </w:rPr>
              <w:t xml:space="preserve"> Sektörü” başlıklı I. Bölümünde;</w:t>
            </w:r>
            <w:r w:rsidRPr="00367FA3">
              <w:rPr>
                <w:rFonts w:ascii="Century" w:hAnsi="Century" w:cs="Arial"/>
                <w:lang w:val="tr-TR"/>
              </w:rPr>
              <w:t xml:space="preserve"> ülkemizde sigortacılık sektörünün dünya sigortacılığındaki ve Türkiye finansal sistemi içerisindeki yeri incelenmiş ve sigorta ve reasürans şirketlerinin her türlü teknik ve mali sonuçlarının analizine yönelik genel bir değerlendirme yapılmıştır.</w:t>
            </w:r>
          </w:p>
          <w:p w:rsidR="00403C2A" w:rsidRPr="00367FA3" w:rsidRDefault="00403C2A" w:rsidP="00403C2A">
            <w:pPr>
              <w:jc w:val="both"/>
              <w:rPr>
                <w:rFonts w:ascii="Century" w:hAnsi="Century" w:cs="Arial"/>
                <w:lang w:val="tr-TR"/>
              </w:rPr>
            </w:pPr>
          </w:p>
          <w:p w:rsidR="00403C2A" w:rsidRDefault="00403C2A" w:rsidP="00403C2A">
            <w:pPr>
              <w:jc w:val="both"/>
              <w:rPr>
                <w:rFonts w:ascii="Century" w:hAnsi="Century" w:cs="Arial"/>
                <w:lang w:val="tr-TR"/>
              </w:rPr>
            </w:pPr>
            <w:r w:rsidRPr="00367FA3">
              <w:rPr>
                <w:rFonts w:ascii="Century" w:hAnsi="Century" w:cs="Arial"/>
                <w:lang w:val="tr-TR"/>
              </w:rPr>
              <w:t>Bu kapsamda, sigorta ve bireysel emeklilik şirketlerinin yapısal ve yoğunlaşma göstergeleri, varlık, yükümlülük ve özsermaye yapısı, aktif ve özsermaye karlılığı, beş yıllık üretim ve ödenen hasar trendi gibi bazı göstergeler ışığında sigorta ve bireysel emeklilik şirketlerinin faaliyetleri, sektörün boyutları ve büyüme performansı irdelenmiştir.</w:t>
            </w:r>
          </w:p>
          <w:p w:rsidR="00D94069" w:rsidRDefault="00D94069" w:rsidP="00403C2A">
            <w:pPr>
              <w:jc w:val="both"/>
              <w:rPr>
                <w:rFonts w:ascii="Century" w:hAnsi="Century" w:cs="Arial"/>
                <w:lang w:val="tr-TR"/>
              </w:rPr>
            </w:pPr>
          </w:p>
          <w:p w:rsidR="00201C4B" w:rsidRPr="00367FA3" w:rsidRDefault="00201C4B"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lastRenderedPageBreak/>
              <w:t>II. Bölümde “Sigortacılık Alanında Faaliyet Gösteren Diğer Kuruluşlar” başlığı altında, Doğal Afet Sigortaları Kurumu, Emeklilik Gözetim Me</w:t>
            </w:r>
            <w:r w:rsidR="00A55CF3" w:rsidRPr="00367FA3">
              <w:rPr>
                <w:rFonts w:ascii="Century" w:hAnsi="Century" w:cs="Arial"/>
                <w:lang w:val="tr-TR"/>
              </w:rPr>
              <w:t>rkezi AŞ</w:t>
            </w:r>
            <w:r w:rsidRPr="00367FA3">
              <w:rPr>
                <w:rFonts w:ascii="Century" w:hAnsi="Century" w:cs="Arial"/>
                <w:lang w:val="tr-TR"/>
              </w:rPr>
              <w:t xml:space="preserve">, Trafik Sigortası Bilgi Merkezi, </w:t>
            </w:r>
            <w:r w:rsidR="000C0C73" w:rsidRPr="00367FA3">
              <w:rPr>
                <w:rFonts w:ascii="Century" w:hAnsi="Century" w:cs="Arial"/>
                <w:lang w:val="tr-TR"/>
              </w:rPr>
              <w:t>Güvence Hesabı,</w:t>
            </w:r>
            <w:r w:rsidRPr="00367FA3">
              <w:rPr>
                <w:rFonts w:ascii="Century" w:hAnsi="Century" w:cs="Arial"/>
                <w:lang w:val="tr-TR"/>
              </w:rPr>
              <w:t xml:space="preserve"> Türkiye Motorlu Taşıt Bürosu ve Tarım Sigortaları Havuz İşletmesi A</w:t>
            </w:r>
            <w:r w:rsidR="00A55CF3" w:rsidRPr="00367FA3">
              <w:rPr>
                <w:rFonts w:ascii="Century" w:hAnsi="Century" w:cs="Arial"/>
                <w:lang w:val="tr-TR"/>
              </w:rPr>
              <w:t>Ş</w:t>
            </w:r>
            <w:r w:rsidRPr="00367FA3">
              <w:rPr>
                <w:rFonts w:ascii="Century" w:hAnsi="Century" w:cs="Arial"/>
                <w:lang w:val="tr-TR"/>
              </w:rPr>
              <w:t>’nin faaliyetlerine ilişkin bilgi ve veriler sunulmuştur.</w:t>
            </w:r>
          </w:p>
          <w:p w:rsidR="00403C2A" w:rsidRPr="00367FA3" w:rsidRDefault="00403C2A" w:rsidP="00403C2A">
            <w:pPr>
              <w:jc w:val="both"/>
              <w:rPr>
                <w:rFonts w:ascii="Century" w:hAnsi="Century" w:cs="Arial"/>
                <w:lang w:val="tr-TR"/>
              </w:rPr>
            </w:pPr>
          </w:p>
          <w:p w:rsidR="00403C2A" w:rsidRPr="00367FA3" w:rsidRDefault="000C0C73" w:rsidP="00403C2A">
            <w:pPr>
              <w:jc w:val="both"/>
              <w:rPr>
                <w:rFonts w:ascii="Century" w:hAnsi="Century" w:cs="Arial"/>
                <w:lang w:val="tr-TR"/>
              </w:rPr>
            </w:pPr>
            <w:r w:rsidRPr="00367FA3">
              <w:rPr>
                <w:rFonts w:ascii="Century" w:hAnsi="Century" w:cs="Arial"/>
                <w:lang w:val="tr-TR"/>
              </w:rPr>
              <w:t>“2007</w:t>
            </w:r>
            <w:r w:rsidR="00403C2A" w:rsidRPr="00367FA3">
              <w:rPr>
                <w:rFonts w:ascii="Century" w:hAnsi="Century" w:cs="Arial"/>
                <w:lang w:val="tr-TR"/>
              </w:rPr>
              <w:t xml:space="preserve"> yılında Mevzuatta Yapılan Değişiklikler” başlıklı </w:t>
            </w:r>
            <w:smartTag w:uri="urn:schemas-microsoft-com:office:smarttags" w:element="stockticker">
              <w:r w:rsidR="00403C2A" w:rsidRPr="00367FA3">
                <w:rPr>
                  <w:rFonts w:ascii="Century" w:hAnsi="Century" w:cs="Arial"/>
                  <w:lang w:val="tr-TR"/>
                </w:rPr>
                <w:t>III</w:t>
              </w:r>
            </w:smartTag>
            <w:r w:rsidR="00A22FA5" w:rsidRPr="00367FA3">
              <w:rPr>
                <w:rFonts w:ascii="Century" w:hAnsi="Century" w:cs="Arial"/>
                <w:lang w:val="tr-TR"/>
              </w:rPr>
              <w:t>. Bölümde,</w:t>
            </w:r>
            <w:r w:rsidR="00403C2A" w:rsidRPr="00367FA3">
              <w:rPr>
                <w:rFonts w:ascii="Century" w:hAnsi="Century" w:cs="Arial"/>
                <w:lang w:val="tr-TR"/>
              </w:rPr>
              <w:t xml:space="preserve"> </w:t>
            </w:r>
            <w:r w:rsidR="00403C2A" w:rsidRPr="00367FA3">
              <w:rPr>
                <w:rFonts w:ascii="Century" w:hAnsi="Century"/>
                <w:lang w:val="tr-TR"/>
              </w:rPr>
              <w:t xml:space="preserve">sigortacılık ve bireysel </w:t>
            </w:r>
            <w:r w:rsidRPr="00367FA3">
              <w:rPr>
                <w:rFonts w:ascii="Century" w:hAnsi="Century"/>
                <w:lang w:val="tr-TR"/>
              </w:rPr>
              <w:t>emeklilik mevzuatında 01.01.2007</w:t>
            </w:r>
            <w:r w:rsidR="00403C2A" w:rsidRPr="00367FA3">
              <w:rPr>
                <w:rFonts w:ascii="Century" w:hAnsi="Century"/>
                <w:lang w:val="tr-TR"/>
              </w:rPr>
              <w:t xml:space="preserve"> - 31.12.200</w:t>
            </w:r>
            <w:r w:rsidRPr="00367FA3">
              <w:rPr>
                <w:rFonts w:ascii="Century" w:hAnsi="Century"/>
                <w:lang w:val="tr-TR"/>
              </w:rPr>
              <w:t>7</w:t>
            </w:r>
            <w:r w:rsidR="00403C2A" w:rsidRPr="00367FA3">
              <w:rPr>
                <w:rFonts w:ascii="Century" w:hAnsi="Century"/>
                <w:lang w:val="tr-TR"/>
              </w:rPr>
              <w:t xml:space="preserve"> tarihleri arasında gerçekleşmiş düzenlemeler açıklanmıştır. </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Raporun “Tablolar” başlıklı IV. Bölümünde ise;</w:t>
            </w:r>
          </w:p>
          <w:p w:rsidR="00403C2A" w:rsidRPr="00367FA3" w:rsidRDefault="00403C2A" w:rsidP="00403C2A">
            <w:pPr>
              <w:ind w:firstLine="708"/>
              <w:jc w:val="both"/>
              <w:rPr>
                <w:rFonts w:ascii="Century" w:hAnsi="Century" w:cs="Arial"/>
                <w:lang w:val="tr-TR"/>
              </w:rPr>
            </w:pPr>
            <w:r w:rsidRPr="00367FA3">
              <w:rPr>
                <w:rFonts w:ascii="Century" w:hAnsi="Century" w:cs="Arial"/>
                <w:lang w:val="tr-TR"/>
              </w:rPr>
              <w:t xml:space="preserve"> </w:t>
            </w:r>
          </w:p>
          <w:p w:rsidR="00403C2A" w:rsidRPr="00367FA3" w:rsidRDefault="00403C2A" w:rsidP="00403C2A">
            <w:pPr>
              <w:numPr>
                <w:ilvl w:val="0"/>
                <w:numId w:val="5"/>
              </w:numPr>
              <w:jc w:val="both"/>
              <w:rPr>
                <w:rFonts w:ascii="Century" w:hAnsi="Century" w:cs="Arial"/>
                <w:lang w:val="tr-TR"/>
              </w:rPr>
            </w:pPr>
            <w:r w:rsidRPr="00367FA3">
              <w:rPr>
                <w:rFonts w:ascii="Century" w:hAnsi="Century" w:cs="Arial"/>
                <w:lang w:val="tr-TR"/>
              </w:rPr>
              <w:t>Sigorta, reasürans ve bireysel emeklilik şirketlerinin mali tablolarına,</w:t>
            </w:r>
          </w:p>
          <w:p w:rsidR="003873C6" w:rsidRPr="00367FA3" w:rsidRDefault="003873C6" w:rsidP="003873C6">
            <w:pPr>
              <w:ind w:left="510"/>
              <w:jc w:val="both"/>
              <w:rPr>
                <w:rFonts w:ascii="Century" w:hAnsi="Century" w:cs="Arial"/>
                <w:sz w:val="20"/>
                <w:szCs w:val="20"/>
                <w:lang w:val="tr-TR"/>
              </w:rPr>
            </w:pPr>
          </w:p>
          <w:p w:rsidR="00403C2A" w:rsidRPr="00367FA3" w:rsidRDefault="00403C2A" w:rsidP="00403C2A">
            <w:pPr>
              <w:numPr>
                <w:ilvl w:val="0"/>
                <w:numId w:val="5"/>
              </w:numPr>
              <w:jc w:val="both"/>
              <w:rPr>
                <w:rFonts w:ascii="Century" w:hAnsi="Century" w:cs="Arial"/>
                <w:lang w:val="tr-TR"/>
              </w:rPr>
            </w:pPr>
            <w:r w:rsidRPr="00367FA3">
              <w:rPr>
                <w:rFonts w:ascii="Century" w:hAnsi="Century" w:cs="Arial"/>
                <w:lang w:val="tr-TR"/>
              </w:rPr>
              <w:t>Faaliyette bulunan hayat dışı sigorta şirketlerinin mali tablo ve verilerine,</w:t>
            </w:r>
          </w:p>
          <w:p w:rsidR="003873C6" w:rsidRPr="00367FA3" w:rsidRDefault="003873C6" w:rsidP="003873C6">
            <w:pPr>
              <w:jc w:val="both"/>
              <w:rPr>
                <w:rFonts w:ascii="Century" w:hAnsi="Century" w:cs="Arial"/>
                <w:sz w:val="20"/>
                <w:szCs w:val="20"/>
                <w:lang w:val="tr-TR"/>
              </w:rPr>
            </w:pPr>
          </w:p>
          <w:p w:rsidR="00403C2A" w:rsidRPr="00367FA3" w:rsidRDefault="00403C2A" w:rsidP="00403C2A">
            <w:pPr>
              <w:numPr>
                <w:ilvl w:val="0"/>
                <w:numId w:val="5"/>
              </w:numPr>
              <w:jc w:val="both"/>
              <w:rPr>
                <w:rFonts w:ascii="Century" w:hAnsi="Century" w:cs="Arial"/>
                <w:lang w:val="tr-TR"/>
              </w:rPr>
            </w:pPr>
            <w:r w:rsidRPr="00367FA3">
              <w:rPr>
                <w:rFonts w:ascii="Century" w:hAnsi="Century" w:cs="Arial"/>
                <w:lang w:val="tr-TR"/>
              </w:rPr>
              <w:t>Faaliyette bulunan hayat / bireysel emeklilik şirketlerinin mali tablo ve verilerine,</w:t>
            </w:r>
          </w:p>
          <w:p w:rsidR="003873C6" w:rsidRPr="00367FA3" w:rsidRDefault="003873C6" w:rsidP="003873C6">
            <w:pPr>
              <w:jc w:val="both"/>
              <w:rPr>
                <w:rFonts w:ascii="Century" w:hAnsi="Century" w:cs="Arial"/>
                <w:sz w:val="20"/>
                <w:szCs w:val="20"/>
                <w:lang w:val="tr-TR"/>
              </w:rPr>
            </w:pPr>
          </w:p>
          <w:p w:rsidR="00403C2A" w:rsidRPr="00367FA3" w:rsidRDefault="00403C2A" w:rsidP="00403C2A">
            <w:pPr>
              <w:numPr>
                <w:ilvl w:val="0"/>
                <w:numId w:val="5"/>
              </w:numPr>
              <w:jc w:val="both"/>
              <w:rPr>
                <w:rFonts w:ascii="Century" w:hAnsi="Century" w:cs="Arial"/>
                <w:lang w:val="tr-TR"/>
              </w:rPr>
            </w:pPr>
            <w:r w:rsidRPr="00367FA3">
              <w:rPr>
                <w:rFonts w:ascii="Century" w:hAnsi="Century" w:cs="Arial"/>
                <w:lang w:val="tr-TR"/>
              </w:rPr>
              <w:t>Sigortacılık alanında faaliyet gösteren diğer kuruluşlardan alınan verilere,</w:t>
            </w:r>
          </w:p>
          <w:p w:rsidR="003873C6" w:rsidRPr="00367FA3" w:rsidRDefault="003873C6" w:rsidP="003873C6">
            <w:pPr>
              <w:jc w:val="both"/>
              <w:rPr>
                <w:rFonts w:ascii="Century" w:hAnsi="Century" w:cs="Arial"/>
                <w:sz w:val="20"/>
                <w:szCs w:val="20"/>
                <w:lang w:val="tr-TR"/>
              </w:rPr>
            </w:pPr>
          </w:p>
          <w:p w:rsidR="00403C2A" w:rsidRPr="00367FA3" w:rsidRDefault="00403C2A" w:rsidP="00403C2A">
            <w:pPr>
              <w:numPr>
                <w:ilvl w:val="0"/>
                <w:numId w:val="5"/>
              </w:numPr>
              <w:jc w:val="both"/>
              <w:rPr>
                <w:rFonts w:ascii="Century" w:hAnsi="Century" w:cs="Arial"/>
                <w:lang w:val="tr-TR"/>
              </w:rPr>
            </w:pPr>
            <w:r w:rsidRPr="00367FA3">
              <w:rPr>
                <w:rFonts w:ascii="Century" w:hAnsi="Century" w:cs="Arial"/>
                <w:lang w:val="tr-TR"/>
              </w:rPr>
              <w:t xml:space="preserve">Sigorta, reasürans ve bireysel emeklilik şirketlerinin genel bilgilerine yer verilmiş bulunmaktadır.  </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t>Rapor, Müsteşarlığımız web sitesinde  (</w:t>
            </w:r>
            <w:hyperlink r:id="rId12" w:history="1">
              <w:r w:rsidRPr="00367FA3">
                <w:rPr>
                  <w:rStyle w:val="Kpr"/>
                  <w:rFonts w:ascii="Century" w:hAnsi="Century" w:cs="Arial"/>
                  <w:color w:val="000080"/>
                  <w:lang w:val="tr-TR"/>
                </w:rPr>
                <w:t>www.hazine.gov.tr</w:t>
              </w:r>
            </w:hyperlink>
            <w:r w:rsidRPr="00367FA3">
              <w:rPr>
                <w:rFonts w:ascii="Century" w:hAnsi="Century" w:cs="Arial"/>
                <w:lang w:val="tr-TR"/>
              </w:rPr>
              <w:t>), elektronik ortamda da yer almaktadır. Müsteşarlığımız web sitesi aracılığıyla, Kurul</w:t>
            </w:r>
            <w:r w:rsidR="00A06D7D" w:rsidRPr="00367FA3">
              <w:rPr>
                <w:rFonts w:ascii="Century" w:hAnsi="Century" w:cs="Arial"/>
                <w:lang w:val="tr-TR"/>
              </w:rPr>
              <w:t>umuz tarafından yayımlanan 2002-</w:t>
            </w:r>
            <w:r w:rsidR="000C0C73" w:rsidRPr="00367FA3">
              <w:rPr>
                <w:rFonts w:ascii="Century" w:hAnsi="Century" w:cs="Arial"/>
                <w:lang w:val="tr-TR"/>
              </w:rPr>
              <w:t>2006</w:t>
            </w:r>
            <w:r w:rsidRPr="00367FA3">
              <w:rPr>
                <w:rFonts w:ascii="Century" w:hAnsi="Century" w:cs="Arial"/>
                <w:lang w:val="tr-TR"/>
              </w:rPr>
              <w:t xml:space="preserve"> yıllarına ait Raporlara da ulaşmak mümkündür.</w:t>
            </w:r>
          </w:p>
          <w:p w:rsidR="000C0C73" w:rsidRDefault="000C0C73" w:rsidP="00403C2A">
            <w:pPr>
              <w:jc w:val="both"/>
              <w:rPr>
                <w:rFonts w:ascii="Century" w:hAnsi="Century" w:cs="Arial"/>
                <w:lang w:val="tr-TR"/>
              </w:rPr>
            </w:pPr>
          </w:p>
          <w:p w:rsidR="00DB3EFE" w:rsidRPr="00367FA3" w:rsidRDefault="00DB3EFE" w:rsidP="00403C2A">
            <w:pPr>
              <w:jc w:val="both"/>
              <w:rPr>
                <w:rFonts w:ascii="Century" w:hAnsi="Century" w:cs="Arial"/>
                <w:lang w:val="tr-TR"/>
              </w:rPr>
            </w:pPr>
          </w:p>
          <w:p w:rsidR="00403C2A" w:rsidRPr="00367FA3" w:rsidRDefault="00403C2A" w:rsidP="00403C2A">
            <w:pPr>
              <w:jc w:val="both"/>
              <w:rPr>
                <w:rFonts w:ascii="Century" w:hAnsi="Century" w:cs="Arial"/>
                <w:lang w:val="tr-TR"/>
              </w:rPr>
            </w:pPr>
            <w:r w:rsidRPr="00367FA3">
              <w:rPr>
                <w:rFonts w:ascii="Century" w:hAnsi="Century" w:cs="Arial"/>
                <w:lang w:val="tr-TR"/>
              </w:rPr>
              <w:lastRenderedPageBreak/>
              <w:t>Uzun bir çalışma ve büyük bir emek gerektiren bu Raporun hazırlanmasında  görev alan Kurulumuz Sigorta Denetleme Uzmanları Sibel YELMENOĞLU ve Burçin BALTA ile Sigorta Denetleme Aktüeri Umut DOĞAN’a özverili çalışmalarından ötürü teşekkür eder, Raporun sigortacılık sektörü ile ilgili herkese faydalı  olmasını dilerim.</w:t>
            </w: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lang w:val="tr-TR"/>
              </w:rPr>
            </w:pPr>
          </w:p>
          <w:p w:rsidR="00403C2A" w:rsidRPr="00367FA3" w:rsidRDefault="00403C2A" w:rsidP="00403C2A">
            <w:pPr>
              <w:jc w:val="both"/>
              <w:rPr>
                <w:rFonts w:ascii="Century" w:hAnsi="Century" w:cs="Arial"/>
                <w:b/>
                <w:lang w:val="tr-TR"/>
              </w:rPr>
            </w:pPr>
            <w:r w:rsidRPr="00367FA3">
              <w:rPr>
                <w:rFonts w:ascii="Century" w:hAnsi="Century" w:cs="Arial"/>
                <w:b/>
                <w:lang w:val="tr-TR"/>
              </w:rPr>
              <w:t>İbrahim TAŞBAŞI</w:t>
            </w:r>
          </w:p>
          <w:p w:rsidR="0042127E" w:rsidRPr="00367FA3" w:rsidRDefault="00403C2A" w:rsidP="00177052">
            <w:pPr>
              <w:jc w:val="both"/>
              <w:rPr>
                <w:rFonts w:ascii="Century" w:hAnsi="Century" w:cs="Arial"/>
                <w:b/>
                <w:lang w:val="tr-TR"/>
              </w:rPr>
            </w:pPr>
            <w:r w:rsidRPr="00367FA3">
              <w:rPr>
                <w:rFonts w:ascii="Century" w:hAnsi="Century" w:cs="Arial"/>
                <w:b/>
                <w:lang w:val="tr-TR"/>
              </w:rPr>
              <w:t>Sigorta Denetleme Kurulu</w:t>
            </w:r>
            <w:r w:rsidR="00177052" w:rsidRPr="00367FA3">
              <w:rPr>
                <w:rFonts w:ascii="Century" w:hAnsi="Century" w:cs="Arial"/>
                <w:b/>
                <w:lang w:val="tr-TR"/>
              </w:rPr>
              <w:t xml:space="preserve"> </w:t>
            </w:r>
            <w:r w:rsidRPr="00367FA3">
              <w:rPr>
                <w:rFonts w:ascii="Century" w:hAnsi="Century" w:cs="Arial"/>
                <w:b/>
                <w:lang w:val="tr-TR"/>
              </w:rPr>
              <w:t>Başkanı</w:t>
            </w:r>
          </w:p>
          <w:p w:rsidR="00403C2A" w:rsidRPr="00367FA3" w:rsidRDefault="00403C2A" w:rsidP="00177052">
            <w:pPr>
              <w:jc w:val="both"/>
              <w:rPr>
                <w:rFonts w:ascii="Century" w:hAnsi="Century"/>
                <w:lang w:val="tr-TR"/>
              </w:rPr>
            </w:pPr>
            <w:r w:rsidRPr="00367FA3">
              <w:rPr>
                <w:rFonts w:ascii="Century" w:hAnsi="Century" w:cs="Arial"/>
                <w:b/>
                <w:i/>
                <w:color w:val="595959"/>
                <w:w w:val="80"/>
                <w:sz w:val="22"/>
                <w:lang w:val="tr-TR"/>
              </w:rPr>
              <w:t>President</w:t>
            </w:r>
            <w:r w:rsidR="0042127E" w:rsidRPr="00367FA3">
              <w:rPr>
                <w:rFonts w:ascii="Century" w:hAnsi="Century" w:cs="Arial"/>
                <w:b/>
                <w:i/>
                <w:color w:val="595959"/>
                <w:w w:val="80"/>
                <w:sz w:val="22"/>
                <w:lang w:val="tr-TR"/>
              </w:rPr>
              <w:t>,</w:t>
            </w:r>
            <w:r w:rsidR="00177052" w:rsidRPr="00367FA3">
              <w:rPr>
                <w:rFonts w:ascii="Century" w:hAnsi="Century" w:cs="Arial"/>
                <w:b/>
                <w:i/>
                <w:color w:val="595959"/>
                <w:w w:val="80"/>
                <w:sz w:val="22"/>
                <w:lang w:val="tr-TR"/>
              </w:rPr>
              <w:t xml:space="preserve"> </w:t>
            </w:r>
            <w:r w:rsidRPr="00367FA3">
              <w:rPr>
                <w:rFonts w:ascii="Century" w:hAnsi="Century" w:cs="Arial"/>
                <w:b/>
                <w:i/>
                <w:color w:val="595959"/>
                <w:w w:val="80"/>
                <w:sz w:val="22"/>
                <w:lang w:val="tr-TR"/>
              </w:rPr>
              <w:t>The Insurance Supervisory Board</w:t>
            </w:r>
          </w:p>
        </w:tc>
        <w:tc>
          <w:tcPr>
            <w:tcW w:w="236" w:type="dxa"/>
          </w:tcPr>
          <w:p w:rsidR="00403C2A" w:rsidRPr="00367FA3" w:rsidRDefault="00403C2A" w:rsidP="00584A9C">
            <w:pPr>
              <w:rPr>
                <w:rFonts w:ascii="Century" w:hAnsi="Century"/>
                <w:lang w:val="tr-TR"/>
              </w:rPr>
            </w:pPr>
          </w:p>
        </w:tc>
        <w:tc>
          <w:tcPr>
            <w:tcW w:w="4804" w:type="dxa"/>
          </w:tcPr>
          <w:p w:rsidR="00403C2A" w:rsidRPr="00CF3FF2" w:rsidRDefault="00403C2A" w:rsidP="00403C2A">
            <w:pPr>
              <w:jc w:val="center"/>
              <w:rPr>
                <w:rFonts w:ascii="Century" w:hAnsi="Century"/>
                <w:b/>
                <w:color w:val="404040"/>
                <w:lang w:val="tr-TR"/>
              </w:rPr>
            </w:pPr>
            <w:r w:rsidRPr="00CF3FF2">
              <w:rPr>
                <w:rFonts w:ascii="Century" w:hAnsi="Century"/>
                <w:b/>
                <w:color w:val="404040"/>
                <w:lang w:val="tr-TR"/>
              </w:rPr>
              <w:t>FOREWORD</w:t>
            </w:r>
          </w:p>
          <w:p w:rsidR="00403C2A" w:rsidRPr="00CF3FF2" w:rsidRDefault="00403C2A" w:rsidP="00403C2A">
            <w:pPr>
              <w:jc w:val="center"/>
              <w:rPr>
                <w:rFonts w:ascii="Century" w:hAnsi="Century"/>
                <w:b/>
                <w:color w:val="404040"/>
                <w:lang w:val="tr-TR"/>
              </w:rPr>
            </w:pPr>
          </w:p>
          <w:p w:rsidR="00403C2A" w:rsidRPr="00CF3FF2" w:rsidRDefault="00403C2A" w:rsidP="00403C2A">
            <w:pPr>
              <w:jc w:val="center"/>
              <w:rPr>
                <w:rFonts w:ascii="Century" w:hAnsi="Century"/>
                <w:b/>
                <w:color w:val="404040"/>
                <w:lang w:val="tr-TR"/>
              </w:rPr>
            </w:pPr>
          </w:p>
          <w:p w:rsidR="001A11B1" w:rsidRPr="00876741" w:rsidRDefault="00403C2A" w:rsidP="001A11B1">
            <w:pPr>
              <w:jc w:val="both"/>
              <w:rPr>
                <w:rFonts w:ascii="Century" w:hAnsi="Century"/>
                <w:color w:val="595959"/>
                <w:lang w:val="tr-TR"/>
              </w:rPr>
            </w:pPr>
            <w:r w:rsidRPr="00CF3FF2">
              <w:rPr>
                <w:rFonts w:ascii="Century" w:hAnsi="Century"/>
                <w:b/>
                <w:color w:val="404040"/>
                <w:lang w:val="tr-TR"/>
              </w:rPr>
              <w:t xml:space="preserve"> </w:t>
            </w:r>
            <w:r w:rsidR="001A11B1" w:rsidRPr="001A11B1">
              <w:rPr>
                <w:rFonts w:ascii="Century" w:hAnsi="Century"/>
                <w:color w:val="595959"/>
                <w:lang w:val="tr-TR"/>
              </w:rPr>
              <w:t>“Report About Insurance and Private Pension Activities in Turkey” which has been published annualy by our Board since 1963 and has included private pension activities since 2004, includes detailed and reliable data about Turkish insurance industry and covers most results of activities of all of insurance, reinsurance and pension companies.</w:t>
            </w:r>
          </w:p>
          <w:p w:rsidR="00403C2A" w:rsidRPr="00CF3FF2" w:rsidRDefault="00403C2A" w:rsidP="00403C2A">
            <w:pPr>
              <w:rPr>
                <w:rFonts w:ascii="Century" w:hAnsi="Century"/>
                <w:b/>
                <w:color w:val="404040"/>
                <w:lang w:val="tr-TR"/>
              </w:rPr>
            </w:pPr>
          </w:p>
          <w:p w:rsidR="009159F9" w:rsidRPr="00CF3FF2" w:rsidRDefault="009159F9" w:rsidP="00403C2A">
            <w:pPr>
              <w:jc w:val="both"/>
              <w:rPr>
                <w:rFonts w:ascii="Century" w:hAnsi="Century"/>
                <w:color w:val="404040"/>
                <w:lang w:val="tr-TR"/>
              </w:rPr>
            </w:pPr>
          </w:p>
          <w:p w:rsidR="001A11B1" w:rsidRPr="00876741" w:rsidRDefault="001A11B1" w:rsidP="001A11B1">
            <w:pPr>
              <w:jc w:val="both"/>
              <w:rPr>
                <w:rFonts w:ascii="Century" w:hAnsi="Century"/>
                <w:color w:val="595959"/>
                <w:lang w:val="tr-TR"/>
              </w:rPr>
            </w:pPr>
            <w:r w:rsidRPr="001A11B1">
              <w:rPr>
                <w:rFonts w:ascii="Century" w:hAnsi="Century"/>
                <w:color w:val="595959"/>
                <w:lang w:val="tr-TR"/>
              </w:rPr>
              <w:t>The Report on the Insurance Activities in Turkey for the year 2007 which is renewed in terms of contents, scope and design and in accordance with new developments and opinions about previous reports is the 45</w:t>
            </w:r>
            <w:r w:rsidRPr="001A11B1">
              <w:rPr>
                <w:rFonts w:ascii="Century" w:hAnsi="Century"/>
                <w:color w:val="595959"/>
                <w:vertAlign w:val="superscript"/>
                <w:lang w:val="tr-TR"/>
              </w:rPr>
              <w:t>th</w:t>
            </w:r>
            <w:r w:rsidRPr="001A11B1">
              <w:rPr>
                <w:rFonts w:ascii="Century" w:hAnsi="Century"/>
                <w:color w:val="595959"/>
                <w:lang w:val="tr-TR"/>
              </w:rPr>
              <w:t xml:space="preserve">  issue of the Report. This report contains insurance sector activities in 2007 and has four principle part.</w:t>
            </w:r>
          </w:p>
          <w:p w:rsidR="00403C2A" w:rsidRPr="00CF3FF2" w:rsidRDefault="00403C2A" w:rsidP="00403C2A">
            <w:pPr>
              <w:jc w:val="both"/>
              <w:rPr>
                <w:rFonts w:ascii="Century" w:hAnsi="Century" w:cs="Arial"/>
                <w:color w:val="404040"/>
                <w:lang w:val="tr-TR"/>
              </w:rPr>
            </w:pPr>
          </w:p>
          <w:p w:rsidR="00A06D7D" w:rsidRPr="00CF3FF2" w:rsidRDefault="00A06D7D" w:rsidP="00403C2A">
            <w:pPr>
              <w:jc w:val="both"/>
              <w:rPr>
                <w:rFonts w:ascii="Century" w:hAnsi="Century" w:cs="Arial"/>
                <w:color w:val="404040"/>
                <w:lang w:val="tr-TR"/>
              </w:rPr>
            </w:pPr>
          </w:p>
          <w:p w:rsidR="001A11B1" w:rsidRDefault="001A11B1" w:rsidP="00403C2A">
            <w:pPr>
              <w:jc w:val="both"/>
              <w:rPr>
                <w:rFonts w:ascii="Century" w:hAnsi="Century" w:cs="Arial"/>
                <w:color w:val="595959"/>
                <w:lang w:val="tr-TR"/>
              </w:rPr>
            </w:pPr>
            <w:r w:rsidRPr="001A11B1">
              <w:rPr>
                <w:rFonts w:ascii="Century" w:hAnsi="Century" w:cs="Arial"/>
                <w:color w:val="595959"/>
                <w:lang w:val="tr-TR"/>
              </w:rPr>
              <w:t>In the Report, within the Chapter I titled as “Insurance and Private Pension Sector” evaluates insurance sector in Turkey within the global insurance and turkish financial markets and evaluate  insurance and reinsurance companies. In the Report, general assessment over technical and financial activities of all insurance, private pension and reinsurance companies has been made.</w:t>
            </w:r>
          </w:p>
          <w:p w:rsidR="00403C2A" w:rsidRPr="00CF3FF2" w:rsidRDefault="001A11B1" w:rsidP="00403C2A">
            <w:pPr>
              <w:jc w:val="both"/>
              <w:rPr>
                <w:rFonts w:ascii="Century" w:hAnsi="Century" w:cs="Arial"/>
                <w:color w:val="404040"/>
                <w:lang w:val="tr-TR"/>
              </w:rPr>
            </w:pPr>
            <w:r w:rsidRPr="00876741">
              <w:rPr>
                <w:rFonts w:ascii="Century" w:hAnsi="Century" w:cs="Arial"/>
                <w:color w:val="595959"/>
                <w:lang w:val="tr-TR"/>
              </w:rPr>
              <w:t xml:space="preserve"> </w:t>
            </w:r>
          </w:p>
          <w:p w:rsidR="00403C2A" w:rsidRPr="00CF3FF2" w:rsidRDefault="001A11B1" w:rsidP="00403C2A">
            <w:pPr>
              <w:jc w:val="both"/>
              <w:rPr>
                <w:rFonts w:ascii="Century" w:hAnsi="Century" w:cs="Arial"/>
                <w:color w:val="404040"/>
                <w:lang w:val="tr-TR"/>
              </w:rPr>
            </w:pPr>
            <w:r w:rsidRPr="001A11B1">
              <w:rPr>
                <w:rFonts w:ascii="Century" w:hAnsi="Century" w:cs="Arial"/>
                <w:color w:val="595959"/>
                <w:lang w:val="tr-TR"/>
              </w:rPr>
              <w:t>Within that context, in the light of some benchmarks like structural and concentration indicators, assets, liabilities and equity structures, return on assets and equity, premium and paid losses trends for five years, Activities, magnitude and growth performance of insurance and private pension companies in the industry are evaluated.</w:t>
            </w:r>
          </w:p>
          <w:p w:rsidR="00D94069" w:rsidRDefault="00D94069" w:rsidP="00403C2A">
            <w:pPr>
              <w:jc w:val="both"/>
              <w:rPr>
                <w:rFonts w:ascii="Century" w:hAnsi="Century" w:cs="Arial"/>
                <w:color w:val="404040"/>
                <w:lang w:val="tr-TR"/>
              </w:rPr>
            </w:pPr>
          </w:p>
          <w:p w:rsidR="00201C4B" w:rsidRPr="00CF3FF2" w:rsidRDefault="00201C4B" w:rsidP="00403C2A">
            <w:pPr>
              <w:jc w:val="both"/>
              <w:rPr>
                <w:rFonts w:ascii="Century" w:hAnsi="Century" w:cs="Arial"/>
                <w:color w:val="404040"/>
                <w:lang w:val="tr-TR"/>
              </w:rPr>
            </w:pPr>
          </w:p>
          <w:p w:rsidR="00403C2A" w:rsidRPr="00CF3FF2" w:rsidRDefault="00403C2A" w:rsidP="00403C2A">
            <w:pPr>
              <w:jc w:val="both"/>
              <w:rPr>
                <w:rFonts w:ascii="Century" w:hAnsi="Century" w:cs="Arial"/>
                <w:color w:val="404040"/>
                <w:lang w:val="tr-TR"/>
              </w:rPr>
            </w:pPr>
            <w:r w:rsidRPr="00CF3FF2">
              <w:rPr>
                <w:rFonts w:ascii="Century" w:hAnsi="Century" w:cs="Arial"/>
                <w:color w:val="404040"/>
                <w:lang w:val="tr-TR"/>
              </w:rPr>
              <w:lastRenderedPageBreak/>
              <w:t xml:space="preserve">Chapter II titled as “Other Institutions in Insurance Sector” contains data and information concerning Turkish Catastrophe Insurance Pool (TCIP), Pension Monitoring Center, Motor </w:t>
            </w:r>
            <w:smartTag w:uri="urn:schemas-microsoft-com:office:smarttags" w:element="stockticker">
              <w:r w:rsidRPr="00CF3FF2">
                <w:rPr>
                  <w:rFonts w:ascii="Century" w:hAnsi="Century" w:cs="Arial"/>
                  <w:color w:val="404040"/>
                  <w:lang w:val="tr-TR"/>
                </w:rPr>
                <w:t>TPL</w:t>
              </w:r>
            </w:smartTag>
            <w:r w:rsidRPr="00CF3FF2">
              <w:rPr>
                <w:rFonts w:ascii="Century" w:hAnsi="Century" w:cs="Arial"/>
                <w:color w:val="404040"/>
                <w:lang w:val="tr-TR"/>
              </w:rPr>
              <w:t xml:space="preserve"> Insurance Information Center,  Guarantee Found, Turkish Motor Insurance Bureau and Agricultural Insurance Pool.</w:t>
            </w:r>
          </w:p>
          <w:p w:rsidR="00403C2A" w:rsidRPr="00CF3FF2" w:rsidRDefault="00403C2A" w:rsidP="00403C2A">
            <w:pPr>
              <w:jc w:val="both"/>
              <w:rPr>
                <w:rFonts w:ascii="Century" w:hAnsi="Century" w:cs="Arial"/>
                <w:color w:val="404040"/>
                <w:lang w:val="tr-TR"/>
              </w:rPr>
            </w:pPr>
          </w:p>
          <w:p w:rsidR="00403C2A" w:rsidRPr="00CF3FF2" w:rsidRDefault="00403C2A" w:rsidP="00403C2A">
            <w:pPr>
              <w:jc w:val="both"/>
              <w:rPr>
                <w:rFonts w:ascii="Century" w:hAnsi="Century" w:cs="Arial"/>
                <w:color w:val="404040"/>
                <w:lang w:val="tr-TR"/>
              </w:rPr>
            </w:pPr>
            <w:r w:rsidRPr="00CF3FF2">
              <w:rPr>
                <w:rFonts w:ascii="Century" w:hAnsi="Century" w:cs="Arial"/>
                <w:color w:val="404040"/>
                <w:lang w:val="tr-TR"/>
              </w:rPr>
              <w:t xml:space="preserve">Chapter </w:t>
            </w:r>
            <w:smartTag w:uri="urn:schemas-microsoft-com:office:smarttags" w:element="stockticker">
              <w:r w:rsidRPr="00CF3FF2">
                <w:rPr>
                  <w:rFonts w:ascii="Century" w:hAnsi="Century" w:cs="Arial"/>
                  <w:color w:val="404040"/>
                  <w:lang w:val="tr-TR"/>
                </w:rPr>
                <w:t>III</w:t>
              </w:r>
            </w:smartTag>
            <w:r w:rsidRPr="00CF3FF2">
              <w:rPr>
                <w:rFonts w:ascii="Century" w:hAnsi="Century" w:cs="Arial"/>
                <w:color w:val="404040"/>
                <w:lang w:val="tr-TR"/>
              </w:rPr>
              <w:t xml:space="preserve"> titled as “Th</w:t>
            </w:r>
            <w:r w:rsidR="000C0C73" w:rsidRPr="00CF3FF2">
              <w:rPr>
                <w:rFonts w:ascii="Century" w:hAnsi="Century" w:cs="Arial"/>
                <w:color w:val="404040"/>
                <w:lang w:val="tr-TR"/>
              </w:rPr>
              <w:t>e Changes on Legislation in 2007</w:t>
            </w:r>
            <w:r w:rsidRPr="00CF3FF2">
              <w:rPr>
                <w:rFonts w:ascii="Century" w:hAnsi="Century" w:cs="Arial"/>
                <w:color w:val="404040"/>
                <w:lang w:val="tr-TR"/>
              </w:rPr>
              <w:t>” are stated the amendments made on the insurance and private pension</w:t>
            </w:r>
            <w:r w:rsidR="000C0C73" w:rsidRPr="00CF3FF2">
              <w:rPr>
                <w:rFonts w:ascii="Century" w:hAnsi="Century" w:cs="Arial"/>
                <w:color w:val="404040"/>
                <w:lang w:val="tr-TR"/>
              </w:rPr>
              <w:t xml:space="preserve"> legislation from January 1, 2007 to December 31, 2007</w:t>
            </w:r>
            <w:r w:rsidRPr="00CF3FF2">
              <w:rPr>
                <w:rFonts w:ascii="Century" w:hAnsi="Century" w:cs="Arial"/>
                <w:color w:val="404040"/>
                <w:lang w:val="tr-TR"/>
              </w:rPr>
              <w:t>.</w:t>
            </w:r>
          </w:p>
          <w:p w:rsidR="00403C2A" w:rsidRPr="00CF3FF2" w:rsidRDefault="00403C2A" w:rsidP="00403C2A">
            <w:pPr>
              <w:jc w:val="both"/>
              <w:rPr>
                <w:rFonts w:ascii="Century" w:hAnsi="Century" w:cs="Arial"/>
                <w:color w:val="404040"/>
                <w:lang w:val="tr-TR"/>
              </w:rPr>
            </w:pPr>
          </w:p>
          <w:p w:rsidR="000C0C73" w:rsidRPr="00CF3FF2" w:rsidRDefault="000C0C73" w:rsidP="00403C2A">
            <w:pPr>
              <w:jc w:val="both"/>
              <w:rPr>
                <w:rFonts w:ascii="Century" w:hAnsi="Century" w:cs="Arial"/>
                <w:color w:val="404040"/>
                <w:lang w:val="tr-TR"/>
              </w:rPr>
            </w:pPr>
          </w:p>
          <w:p w:rsidR="00403C2A" w:rsidRPr="00CF3FF2" w:rsidRDefault="00403C2A" w:rsidP="00403C2A">
            <w:pPr>
              <w:jc w:val="both"/>
              <w:rPr>
                <w:rFonts w:ascii="Century" w:hAnsi="Century" w:cs="Arial"/>
                <w:color w:val="404040"/>
                <w:lang w:val="tr-TR"/>
              </w:rPr>
            </w:pPr>
            <w:r w:rsidRPr="00CF3FF2">
              <w:rPr>
                <w:rFonts w:ascii="Century" w:hAnsi="Century" w:cs="Arial"/>
                <w:color w:val="404040"/>
                <w:lang w:val="tr-TR"/>
              </w:rPr>
              <w:t>Chapter IV titled as “Tables” are stated as follows;</w:t>
            </w:r>
          </w:p>
          <w:p w:rsidR="00403C2A" w:rsidRPr="00CF3FF2" w:rsidRDefault="00403C2A" w:rsidP="00403C2A">
            <w:pPr>
              <w:jc w:val="both"/>
              <w:rPr>
                <w:rFonts w:ascii="Century" w:hAnsi="Century" w:cs="Arial"/>
                <w:color w:val="404040"/>
                <w:lang w:val="tr-TR"/>
              </w:rPr>
            </w:pPr>
            <w:r w:rsidRPr="00CF3FF2">
              <w:rPr>
                <w:rFonts w:ascii="Century" w:hAnsi="Century" w:cs="Arial"/>
                <w:color w:val="404040"/>
                <w:lang w:val="tr-TR"/>
              </w:rPr>
              <w:tab/>
            </w:r>
          </w:p>
          <w:p w:rsidR="00403C2A" w:rsidRPr="00CF3FF2" w:rsidRDefault="00403C2A" w:rsidP="00403C2A">
            <w:pPr>
              <w:numPr>
                <w:ilvl w:val="0"/>
                <w:numId w:val="13"/>
              </w:numPr>
              <w:jc w:val="both"/>
              <w:rPr>
                <w:rFonts w:ascii="Century" w:hAnsi="Century" w:cs="Arial"/>
                <w:color w:val="404040"/>
                <w:lang w:val="tr-TR"/>
              </w:rPr>
            </w:pPr>
            <w:r w:rsidRPr="00CF3FF2">
              <w:rPr>
                <w:rFonts w:ascii="Century" w:hAnsi="Century" w:cs="Arial"/>
                <w:color w:val="404040"/>
                <w:lang w:val="tr-TR"/>
              </w:rPr>
              <w:t>Financial Statements of Insurance, Pension, and Reinsurance Companies</w:t>
            </w:r>
          </w:p>
          <w:p w:rsidR="003873C6" w:rsidRPr="00CF3FF2" w:rsidRDefault="003873C6" w:rsidP="003873C6">
            <w:pPr>
              <w:jc w:val="both"/>
              <w:rPr>
                <w:rFonts w:ascii="Century" w:hAnsi="Century" w:cs="Arial"/>
                <w:color w:val="404040"/>
                <w:sz w:val="20"/>
                <w:szCs w:val="20"/>
                <w:lang w:val="tr-TR"/>
              </w:rPr>
            </w:pPr>
          </w:p>
          <w:p w:rsidR="00403C2A" w:rsidRPr="00CF3FF2" w:rsidRDefault="00403C2A" w:rsidP="00403C2A">
            <w:pPr>
              <w:numPr>
                <w:ilvl w:val="0"/>
                <w:numId w:val="13"/>
              </w:numPr>
              <w:jc w:val="both"/>
              <w:rPr>
                <w:rFonts w:ascii="Century" w:hAnsi="Century" w:cs="Arial"/>
                <w:color w:val="404040"/>
                <w:lang w:val="tr-TR"/>
              </w:rPr>
            </w:pPr>
            <w:r w:rsidRPr="00CF3FF2">
              <w:rPr>
                <w:rFonts w:ascii="Century" w:hAnsi="Century" w:cs="Arial"/>
                <w:color w:val="404040"/>
                <w:lang w:val="tr-TR"/>
              </w:rPr>
              <w:t>Financial Statements and Indicators of Active Non-Life Insurance Companies</w:t>
            </w:r>
          </w:p>
          <w:p w:rsidR="003873C6" w:rsidRPr="00CF3FF2" w:rsidRDefault="003873C6" w:rsidP="003873C6">
            <w:pPr>
              <w:jc w:val="both"/>
              <w:rPr>
                <w:rFonts w:ascii="Century" w:hAnsi="Century" w:cs="Arial"/>
                <w:color w:val="404040"/>
                <w:sz w:val="20"/>
                <w:szCs w:val="20"/>
                <w:lang w:val="tr-TR"/>
              </w:rPr>
            </w:pPr>
          </w:p>
          <w:p w:rsidR="00403C2A" w:rsidRPr="00CF3FF2" w:rsidRDefault="00403C2A" w:rsidP="00403C2A">
            <w:pPr>
              <w:numPr>
                <w:ilvl w:val="0"/>
                <w:numId w:val="13"/>
              </w:numPr>
              <w:jc w:val="both"/>
              <w:rPr>
                <w:rFonts w:ascii="Century" w:hAnsi="Century" w:cs="Arial"/>
                <w:color w:val="404040"/>
                <w:lang w:val="tr-TR"/>
              </w:rPr>
            </w:pPr>
            <w:r w:rsidRPr="00CF3FF2">
              <w:rPr>
                <w:rFonts w:ascii="Century" w:hAnsi="Century" w:cs="Arial"/>
                <w:color w:val="404040"/>
                <w:lang w:val="tr-TR"/>
              </w:rPr>
              <w:t>Financial Statements and Indicators of Active Life / Pension Companies</w:t>
            </w:r>
          </w:p>
          <w:p w:rsidR="003873C6" w:rsidRPr="00CF3FF2" w:rsidRDefault="003873C6" w:rsidP="003873C6">
            <w:pPr>
              <w:jc w:val="both"/>
              <w:rPr>
                <w:rFonts w:ascii="Century" w:hAnsi="Century" w:cs="Arial"/>
                <w:color w:val="404040"/>
                <w:sz w:val="20"/>
                <w:szCs w:val="20"/>
                <w:lang w:val="tr-TR"/>
              </w:rPr>
            </w:pPr>
          </w:p>
          <w:p w:rsidR="00403C2A" w:rsidRPr="00CF3FF2" w:rsidRDefault="00403C2A" w:rsidP="00403C2A">
            <w:pPr>
              <w:numPr>
                <w:ilvl w:val="0"/>
                <w:numId w:val="13"/>
              </w:numPr>
              <w:jc w:val="both"/>
              <w:rPr>
                <w:rFonts w:ascii="Century" w:hAnsi="Century" w:cs="Arial"/>
                <w:color w:val="404040"/>
                <w:lang w:val="tr-TR"/>
              </w:rPr>
            </w:pPr>
            <w:r w:rsidRPr="00CF3FF2">
              <w:rPr>
                <w:rFonts w:ascii="Century" w:hAnsi="Century" w:cs="Arial"/>
                <w:color w:val="404040"/>
                <w:lang w:val="tr-TR"/>
              </w:rPr>
              <w:t>Other Institutions in Insurance Sector</w:t>
            </w:r>
          </w:p>
          <w:p w:rsidR="003873C6" w:rsidRPr="00CF3FF2" w:rsidRDefault="003873C6" w:rsidP="003873C6">
            <w:pPr>
              <w:jc w:val="both"/>
              <w:rPr>
                <w:rFonts w:ascii="Century" w:hAnsi="Century" w:cs="Arial"/>
                <w:color w:val="404040"/>
                <w:sz w:val="20"/>
                <w:szCs w:val="20"/>
                <w:lang w:val="tr-TR"/>
              </w:rPr>
            </w:pPr>
          </w:p>
          <w:p w:rsidR="00403C2A" w:rsidRPr="00CF3FF2" w:rsidRDefault="00403C2A" w:rsidP="00403C2A">
            <w:pPr>
              <w:numPr>
                <w:ilvl w:val="0"/>
                <w:numId w:val="13"/>
              </w:numPr>
              <w:jc w:val="both"/>
              <w:rPr>
                <w:rFonts w:ascii="Century" w:hAnsi="Century" w:cs="Arial"/>
                <w:color w:val="404040"/>
                <w:lang w:val="tr-TR"/>
              </w:rPr>
            </w:pPr>
            <w:r w:rsidRPr="00CF3FF2">
              <w:rPr>
                <w:rFonts w:ascii="Century" w:hAnsi="Century" w:cs="Arial"/>
                <w:color w:val="404040"/>
                <w:lang w:val="tr-TR"/>
              </w:rPr>
              <w:t>General Indicators of Insurance, Pension and Reinsurance Companies</w:t>
            </w:r>
          </w:p>
          <w:p w:rsidR="00403C2A" w:rsidRPr="00CF3FF2" w:rsidRDefault="00403C2A" w:rsidP="00403C2A">
            <w:pPr>
              <w:jc w:val="both"/>
              <w:rPr>
                <w:rFonts w:ascii="Century" w:hAnsi="Century" w:cs="Arial"/>
                <w:color w:val="404040"/>
                <w:lang w:val="tr-TR"/>
              </w:rPr>
            </w:pPr>
          </w:p>
          <w:p w:rsidR="00403C2A" w:rsidRPr="00CF3FF2" w:rsidRDefault="00403C2A" w:rsidP="00403C2A">
            <w:pPr>
              <w:jc w:val="both"/>
              <w:rPr>
                <w:rFonts w:ascii="Century" w:hAnsi="Century" w:cs="Arial"/>
                <w:color w:val="404040"/>
                <w:lang w:val="tr-TR"/>
              </w:rPr>
            </w:pPr>
          </w:p>
          <w:p w:rsidR="000C0C73" w:rsidRPr="00CF3FF2" w:rsidRDefault="000C0C73" w:rsidP="00403C2A">
            <w:pPr>
              <w:jc w:val="both"/>
              <w:rPr>
                <w:rFonts w:ascii="Century" w:hAnsi="Century" w:cs="Arial"/>
                <w:color w:val="404040"/>
                <w:lang w:val="tr-TR"/>
              </w:rPr>
            </w:pPr>
          </w:p>
          <w:p w:rsidR="00403C2A" w:rsidRPr="00CF3FF2" w:rsidRDefault="00403C2A" w:rsidP="00403C2A">
            <w:pPr>
              <w:jc w:val="both"/>
              <w:rPr>
                <w:rFonts w:ascii="Century" w:hAnsi="Century" w:cs="Arial"/>
                <w:color w:val="404040"/>
                <w:lang w:val="tr-TR"/>
              </w:rPr>
            </w:pPr>
            <w:r w:rsidRPr="00CF3FF2">
              <w:rPr>
                <w:rFonts w:ascii="Century" w:hAnsi="Century" w:cs="Arial"/>
                <w:color w:val="404040"/>
                <w:lang w:val="tr-TR"/>
              </w:rPr>
              <w:t>This report can also be found on Turkish Treasury web site</w:t>
            </w:r>
            <w:r w:rsidR="009159F9" w:rsidRPr="00CF3FF2">
              <w:rPr>
                <w:rFonts w:ascii="Century" w:hAnsi="Century" w:cs="Arial"/>
                <w:color w:val="404040"/>
                <w:lang w:val="tr-TR"/>
              </w:rPr>
              <w:t xml:space="preserve"> (</w:t>
            </w:r>
            <w:hyperlink r:id="rId13" w:history="1">
              <w:r w:rsidR="009159F9" w:rsidRPr="00CF3FF2">
                <w:rPr>
                  <w:rStyle w:val="Kpr"/>
                  <w:rFonts w:ascii="Century" w:hAnsi="Century" w:cs="Arial"/>
                  <w:color w:val="404040"/>
                  <w:lang w:val="tr-TR"/>
                </w:rPr>
                <w:t>www.tre</w:t>
              </w:r>
              <w:r w:rsidR="009159F9" w:rsidRPr="00CF3FF2">
                <w:rPr>
                  <w:rStyle w:val="Kpr"/>
                  <w:rFonts w:ascii="Century" w:hAnsi="Century" w:cs="Arial"/>
                  <w:color w:val="404040"/>
                  <w:lang w:val="tr-TR"/>
                </w:rPr>
                <w:t>a</w:t>
              </w:r>
              <w:r w:rsidR="009159F9" w:rsidRPr="00CF3FF2">
                <w:rPr>
                  <w:rStyle w:val="Kpr"/>
                  <w:rFonts w:ascii="Century" w:hAnsi="Century" w:cs="Arial"/>
                  <w:color w:val="404040"/>
                  <w:lang w:val="tr-TR"/>
                </w:rPr>
                <w:t>sury.gov.tr</w:t>
              </w:r>
            </w:hyperlink>
            <w:r w:rsidR="009159F9" w:rsidRPr="00CF3FF2">
              <w:rPr>
                <w:rFonts w:ascii="Century" w:hAnsi="Century" w:cs="Arial"/>
                <w:color w:val="404040"/>
                <w:lang w:val="tr-TR"/>
              </w:rPr>
              <w:t>).</w:t>
            </w:r>
            <w:r w:rsidRPr="00CF3FF2">
              <w:rPr>
                <w:rFonts w:ascii="Century" w:hAnsi="Century" w:cs="Arial"/>
                <w:color w:val="404040"/>
                <w:lang w:val="tr-TR"/>
              </w:rPr>
              <w:t xml:space="preserve"> It is possible to access to the past reports o</w:t>
            </w:r>
            <w:r w:rsidR="000C0C73" w:rsidRPr="00CF3FF2">
              <w:rPr>
                <w:rFonts w:ascii="Century" w:hAnsi="Century" w:cs="Arial"/>
                <w:color w:val="404040"/>
                <w:lang w:val="tr-TR"/>
              </w:rPr>
              <w:t>f our Board through 2002 to 2006</w:t>
            </w:r>
            <w:r w:rsidRPr="00CF3FF2">
              <w:rPr>
                <w:rFonts w:ascii="Century" w:hAnsi="Century" w:cs="Arial"/>
                <w:color w:val="404040"/>
                <w:lang w:val="tr-TR"/>
              </w:rPr>
              <w:t xml:space="preserve"> on this very same address.</w:t>
            </w:r>
          </w:p>
          <w:p w:rsidR="00403C2A" w:rsidRPr="00CF3FF2" w:rsidRDefault="00403C2A" w:rsidP="00403C2A">
            <w:pPr>
              <w:jc w:val="both"/>
              <w:rPr>
                <w:rFonts w:ascii="Century" w:hAnsi="Century" w:cs="Arial"/>
                <w:color w:val="404040"/>
                <w:lang w:val="tr-TR"/>
              </w:rPr>
            </w:pPr>
          </w:p>
          <w:p w:rsidR="009159F9" w:rsidRPr="00CF3FF2" w:rsidRDefault="009159F9" w:rsidP="00403C2A">
            <w:pPr>
              <w:jc w:val="both"/>
              <w:rPr>
                <w:rFonts w:ascii="Century" w:hAnsi="Century" w:cs="Arial"/>
                <w:color w:val="404040"/>
                <w:lang w:val="tr-TR"/>
              </w:rPr>
            </w:pPr>
          </w:p>
          <w:p w:rsidR="000C0C73" w:rsidRPr="00CF3FF2" w:rsidRDefault="000C0C73" w:rsidP="00403C2A">
            <w:pPr>
              <w:jc w:val="both"/>
              <w:rPr>
                <w:rFonts w:ascii="Century" w:hAnsi="Century" w:cs="Arial"/>
                <w:color w:val="404040"/>
                <w:lang w:val="tr-TR"/>
              </w:rPr>
            </w:pPr>
          </w:p>
          <w:p w:rsidR="00403C2A" w:rsidRPr="00CF3FF2" w:rsidRDefault="00403C2A" w:rsidP="00403C2A">
            <w:pPr>
              <w:jc w:val="both"/>
              <w:rPr>
                <w:rFonts w:ascii="Century" w:hAnsi="Century" w:cs="Arial"/>
                <w:color w:val="404040"/>
                <w:lang w:val="tr-TR"/>
              </w:rPr>
            </w:pPr>
            <w:r w:rsidRPr="00CF3FF2">
              <w:rPr>
                <w:rFonts w:ascii="Century" w:hAnsi="Century" w:cs="Arial"/>
                <w:color w:val="404040"/>
                <w:lang w:val="tr-TR"/>
              </w:rPr>
              <w:lastRenderedPageBreak/>
              <w:t xml:space="preserve">I thank to our Insurance Supervisors Sibel YELMENOĞLU, Burçin BALTA and Umut DOĞAN for their great efforts and self-sacrifying endeavor to prepare this Report and wish this Report to be helpful and beneficial to everyone concerned with insurance sector. </w:t>
            </w:r>
          </w:p>
          <w:p w:rsidR="00403C2A" w:rsidRPr="00367FA3" w:rsidRDefault="00403C2A" w:rsidP="00584A9C">
            <w:pPr>
              <w:rPr>
                <w:rFonts w:ascii="Century" w:hAnsi="Century"/>
                <w:color w:val="595959"/>
                <w:lang w:val="tr-TR"/>
              </w:rPr>
            </w:pPr>
          </w:p>
        </w:tc>
      </w:tr>
    </w:tbl>
    <w:p w:rsidR="00403C2A" w:rsidRPr="00367FA3" w:rsidRDefault="00403C2A">
      <w:r w:rsidRPr="00367FA3">
        <w:lastRenderedPageBreak/>
        <w:br w:type="page"/>
      </w:r>
    </w:p>
    <w:tbl>
      <w:tblPr>
        <w:tblW w:w="9855" w:type="dxa"/>
        <w:tblInd w:w="-252" w:type="dxa"/>
        <w:tblLayout w:type="fixed"/>
        <w:tblLook w:val="04A0" w:firstRow="1" w:lastRow="0" w:firstColumn="1" w:lastColumn="0" w:noHBand="0" w:noVBand="1"/>
      </w:tblPr>
      <w:tblGrid>
        <w:gridCol w:w="4815"/>
        <w:gridCol w:w="236"/>
        <w:gridCol w:w="4804"/>
      </w:tblGrid>
      <w:tr w:rsidR="00403C2A" w:rsidRPr="00367FA3">
        <w:tc>
          <w:tcPr>
            <w:tcW w:w="4815" w:type="dxa"/>
          </w:tcPr>
          <w:p w:rsidR="00403C2A" w:rsidRPr="00367FA3" w:rsidRDefault="00403C2A" w:rsidP="00403C2A">
            <w:pPr>
              <w:rPr>
                <w:rFonts w:ascii="Century" w:hAnsi="Century"/>
                <w:b/>
                <w:lang w:val="tr-TR"/>
              </w:rPr>
            </w:pPr>
            <w:r w:rsidRPr="00367FA3">
              <w:rPr>
                <w:rFonts w:ascii="Century" w:hAnsi="Century"/>
                <w:b/>
                <w:lang w:val="tr-TR"/>
              </w:rPr>
              <w:t>HAZİNE MÜSTEŞARLIĞI</w:t>
            </w:r>
          </w:p>
          <w:p w:rsidR="00403C2A" w:rsidRPr="00367FA3" w:rsidRDefault="00403C2A" w:rsidP="00403C2A">
            <w:pPr>
              <w:rPr>
                <w:rFonts w:ascii="Century" w:hAnsi="Century"/>
                <w:b/>
                <w:lang w:val="tr-TR"/>
              </w:rPr>
            </w:pPr>
            <w:r w:rsidRPr="00367FA3">
              <w:rPr>
                <w:rFonts w:ascii="Century" w:hAnsi="Century"/>
                <w:b/>
                <w:lang w:val="tr-TR"/>
              </w:rPr>
              <w:t xml:space="preserve">SİGORTA DENETLEME KURULU </w:t>
            </w:r>
          </w:p>
          <w:p w:rsidR="00403C2A" w:rsidRPr="00367FA3" w:rsidRDefault="00403C2A" w:rsidP="00403C2A">
            <w:pPr>
              <w:rPr>
                <w:rFonts w:ascii="Century" w:hAnsi="Century"/>
                <w:b/>
                <w:lang w:val="tr-TR"/>
              </w:rPr>
            </w:pPr>
            <w:r w:rsidRPr="00367FA3">
              <w:rPr>
                <w:rFonts w:ascii="Century" w:hAnsi="Century"/>
                <w:b/>
                <w:lang w:val="tr-TR"/>
              </w:rPr>
              <w:t>(Kuruluş, Teşkilat ve Görevleri)</w:t>
            </w:r>
          </w:p>
          <w:p w:rsidR="00403C2A" w:rsidRPr="00367FA3" w:rsidRDefault="00403C2A" w:rsidP="00403C2A">
            <w:pPr>
              <w:jc w:val="both"/>
              <w:rPr>
                <w:rFonts w:ascii="Century" w:hAnsi="Century"/>
                <w:b/>
                <w:lang w:val="tr-TR"/>
              </w:rPr>
            </w:pPr>
          </w:p>
          <w:p w:rsidR="00403C2A" w:rsidRPr="00367FA3" w:rsidRDefault="00403C2A" w:rsidP="00403C2A">
            <w:pPr>
              <w:jc w:val="both"/>
              <w:rPr>
                <w:rFonts w:ascii="Century" w:hAnsi="Century"/>
                <w:b/>
                <w:lang w:val="tr-TR"/>
              </w:rPr>
            </w:pPr>
          </w:p>
          <w:p w:rsidR="00403C2A" w:rsidRPr="00367FA3" w:rsidRDefault="00403C2A" w:rsidP="00403C2A">
            <w:pPr>
              <w:autoSpaceDE w:val="0"/>
              <w:autoSpaceDN w:val="0"/>
              <w:adjustRightInd w:val="0"/>
              <w:jc w:val="both"/>
              <w:rPr>
                <w:rFonts w:ascii="Century" w:hAnsi="Century"/>
                <w:lang w:val="tr-TR"/>
              </w:rPr>
            </w:pPr>
            <w:r w:rsidRPr="00367FA3">
              <w:rPr>
                <w:rFonts w:ascii="Century" w:hAnsi="Century"/>
                <w:lang w:val="tr-TR"/>
              </w:rPr>
              <w:t xml:space="preserve">Sigorta Denetleme Kurulu, Türkiye’de özel sigortacılık alanında faaliyet gösteren gerçek ve tüzel kişilerin kamu adına denetimini yapmak üzere, 1963 yılında, Sigorta Murakabe Kurulu adıyla ve özerk yapıya sahip bir kurul olarak kurulmuştur. </w:t>
            </w:r>
          </w:p>
          <w:p w:rsidR="00403C2A" w:rsidRPr="00367FA3" w:rsidRDefault="00403C2A" w:rsidP="00403C2A">
            <w:pPr>
              <w:autoSpaceDE w:val="0"/>
              <w:autoSpaceDN w:val="0"/>
              <w:adjustRightInd w:val="0"/>
              <w:jc w:val="both"/>
              <w:rPr>
                <w:rFonts w:ascii="Century" w:hAnsi="Century"/>
                <w:lang w:val="tr-TR"/>
              </w:rPr>
            </w:pPr>
          </w:p>
          <w:p w:rsidR="00403C2A" w:rsidRPr="00367FA3" w:rsidRDefault="00403C2A" w:rsidP="00403C2A">
            <w:pPr>
              <w:autoSpaceDE w:val="0"/>
              <w:autoSpaceDN w:val="0"/>
              <w:adjustRightInd w:val="0"/>
              <w:jc w:val="both"/>
              <w:rPr>
                <w:rFonts w:ascii="Century" w:hAnsi="Century"/>
                <w:lang w:val="tr-TR"/>
              </w:rPr>
            </w:pPr>
            <w:r w:rsidRPr="00367FA3">
              <w:rPr>
                <w:rFonts w:ascii="Century" w:hAnsi="Century"/>
                <w:lang w:val="tr-TR"/>
              </w:rPr>
              <w:t xml:space="preserve">Kurul, 09.12.1994 tarih ve 4059 sayılı Hazine Müsteşarlığı ve Dış Ticaret Müsteşarlığı Teşkilat ve Görevleri Hakkında Kanun’un 5’inci maddesi ile Sigorta Denetleme Kurulu adı altında Hazine Müsteşarlığı bünyesine merkez denetim birimi olarak dahil edilmiştir. </w:t>
            </w:r>
          </w:p>
          <w:p w:rsidR="00403C2A" w:rsidRPr="00367FA3" w:rsidRDefault="00403C2A" w:rsidP="00403C2A">
            <w:pPr>
              <w:autoSpaceDE w:val="0"/>
              <w:autoSpaceDN w:val="0"/>
              <w:adjustRightInd w:val="0"/>
              <w:jc w:val="both"/>
              <w:rPr>
                <w:rFonts w:ascii="Century" w:hAnsi="Century"/>
                <w:lang w:val="tr-TR"/>
              </w:rPr>
            </w:pPr>
          </w:p>
          <w:p w:rsidR="00403C2A" w:rsidRPr="00367FA3" w:rsidRDefault="00403C2A" w:rsidP="00403C2A">
            <w:pPr>
              <w:autoSpaceDE w:val="0"/>
              <w:autoSpaceDN w:val="0"/>
              <w:adjustRightInd w:val="0"/>
              <w:jc w:val="both"/>
              <w:rPr>
                <w:rFonts w:ascii="Century" w:hAnsi="Century"/>
                <w:lang w:val="tr-TR"/>
              </w:rPr>
            </w:pPr>
            <w:r w:rsidRPr="00367FA3">
              <w:rPr>
                <w:rFonts w:ascii="Century" w:hAnsi="Century"/>
                <w:lang w:val="tr-TR"/>
              </w:rPr>
              <w:t xml:space="preserve">Bir başkan ile yeteri sayıda denetim elemanından oluşan Kurul’da, Başkan dışında halen </w:t>
            </w:r>
            <w:r w:rsidR="008922DD">
              <w:rPr>
                <w:rFonts w:ascii="Century" w:hAnsi="Century"/>
                <w:lang w:val="tr-TR"/>
              </w:rPr>
              <w:t>32</w:t>
            </w:r>
            <w:r w:rsidR="009E3A1B" w:rsidRPr="00367FA3">
              <w:rPr>
                <w:rFonts w:ascii="Century" w:hAnsi="Century"/>
                <w:lang w:val="tr-TR"/>
              </w:rPr>
              <w:t xml:space="preserve"> sigorta denetleme uzmanı, 1</w:t>
            </w:r>
            <w:r w:rsidR="008F74DE">
              <w:rPr>
                <w:rFonts w:ascii="Century" w:hAnsi="Century"/>
                <w:lang w:val="tr-TR"/>
              </w:rPr>
              <w:t>5 sigorta denetleme aktüeri ve 7</w:t>
            </w:r>
            <w:r w:rsidRPr="00367FA3">
              <w:rPr>
                <w:rFonts w:ascii="Century" w:hAnsi="Century"/>
                <w:lang w:val="tr-TR"/>
              </w:rPr>
              <w:t xml:space="preserve"> sigorta denetleme uzman yardımcısı görev yapmaktadır. Kurul Başkanlığı Ankara’da olup, sigorta denetleme uzmanlarının </w:t>
            </w:r>
            <w:r w:rsidR="008922DD">
              <w:rPr>
                <w:rFonts w:ascii="Century" w:hAnsi="Century"/>
                <w:lang w:val="tr-TR"/>
              </w:rPr>
              <w:t>10</w:t>
            </w:r>
            <w:r w:rsidRPr="00367FA3">
              <w:rPr>
                <w:rFonts w:ascii="Century" w:hAnsi="Century"/>
                <w:lang w:val="tr-TR"/>
              </w:rPr>
              <w:t xml:space="preserve">’u ile sigorta denetleme aktüerlerinin 3’ü Ankara’da, diğerleri ise İstanbul Grubunda görevlidir. </w:t>
            </w:r>
          </w:p>
          <w:p w:rsidR="00403C2A" w:rsidRDefault="00403C2A" w:rsidP="00403C2A">
            <w:pPr>
              <w:autoSpaceDE w:val="0"/>
              <w:autoSpaceDN w:val="0"/>
              <w:adjustRightInd w:val="0"/>
              <w:jc w:val="both"/>
              <w:rPr>
                <w:rFonts w:ascii="Century" w:hAnsi="Century"/>
                <w:lang w:val="tr-TR"/>
              </w:rPr>
            </w:pPr>
          </w:p>
          <w:p w:rsidR="00403C2A" w:rsidRPr="00367FA3" w:rsidRDefault="00403C2A" w:rsidP="00403C2A">
            <w:pPr>
              <w:autoSpaceDE w:val="0"/>
              <w:autoSpaceDN w:val="0"/>
              <w:adjustRightInd w:val="0"/>
              <w:jc w:val="both"/>
              <w:rPr>
                <w:rFonts w:ascii="Century" w:hAnsi="Century"/>
                <w:lang w:val="tr-TR"/>
              </w:rPr>
            </w:pPr>
            <w:r w:rsidRPr="00367FA3">
              <w:rPr>
                <w:rFonts w:ascii="Century" w:hAnsi="Century"/>
                <w:lang w:val="tr-TR"/>
              </w:rPr>
              <w:t>Sigorta Denetleme Kurulu, Hazine Müsteşarına doğrudan bağlı olup,</w:t>
            </w:r>
          </w:p>
          <w:p w:rsidR="00403C2A" w:rsidRDefault="00403C2A" w:rsidP="00177052">
            <w:pPr>
              <w:pStyle w:val="GvdeMetniGirintisi2"/>
              <w:tabs>
                <w:tab w:val="left" w:pos="756"/>
                <w:tab w:val="left" w:pos="864"/>
              </w:tabs>
              <w:spacing w:after="0" w:line="240" w:lineRule="auto"/>
              <w:jc w:val="both"/>
              <w:rPr>
                <w:rFonts w:ascii="Century" w:hAnsi="Century"/>
              </w:rPr>
            </w:pPr>
          </w:p>
          <w:p w:rsidR="00D94069" w:rsidRDefault="00D94069" w:rsidP="00177052">
            <w:pPr>
              <w:pStyle w:val="GvdeMetniGirintisi2"/>
              <w:tabs>
                <w:tab w:val="left" w:pos="756"/>
                <w:tab w:val="left" w:pos="864"/>
              </w:tabs>
              <w:spacing w:after="0" w:line="240" w:lineRule="auto"/>
              <w:jc w:val="both"/>
              <w:rPr>
                <w:rFonts w:ascii="Century" w:hAnsi="Century"/>
              </w:rPr>
            </w:pPr>
          </w:p>
          <w:p w:rsidR="0004427B" w:rsidRPr="00367FA3" w:rsidRDefault="0004427B" w:rsidP="00177052">
            <w:pPr>
              <w:pStyle w:val="GvdeMetniGirintisi2"/>
              <w:tabs>
                <w:tab w:val="left" w:pos="756"/>
                <w:tab w:val="left" w:pos="864"/>
              </w:tabs>
              <w:spacing w:after="0" w:line="240" w:lineRule="auto"/>
              <w:jc w:val="both"/>
              <w:rPr>
                <w:rFonts w:ascii="Century" w:hAnsi="Century"/>
              </w:rPr>
            </w:pPr>
          </w:p>
          <w:p w:rsidR="00403C2A" w:rsidRPr="00367FA3" w:rsidRDefault="00403C2A" w:rsidP="00D15063">
            <w:pPr>
              <w:pStyle w:val="GvdeMetniGirintisi2"/>
              <w:numPr>
                <w:ilvl w:val="0"/>
                <w:numId w:val="6"/>
              </w:numPr>
              <w:tabs>
                <w:tab w:val="clear" w:pos="720"/>
                <w:tab w:val="left" w:pos="600"/>
                <w:tab w:val="num" w:pos="630"/>
              </w:tabs>
              <w:spacing w:after="0" w:line="240" w:lineRule="auto"/>
              <w:ind w:left="630" w:hanging="270"/>
              <w:jc w:val="both"/>
              <w:rPr>
                <w:rFonts w:ascii="Century" w:hAnsi="Century"/>
              </w:rPr>
            </w:pPr>
            <w:r w:rsidRPr="00367FA3">
              <w:rPr>
                <w:rFonts w:ascii="Century" w:hAnsi="Century"/>
              </w:rPr>
              <w:t>Sigortacılık Kanunu ve ilgili diğer mevzuat ile Kurul’a ve Kurul denetim elemanlarına verilen teftiş, denetim, inceleme ve soruşturma görevlerini yürütmek ve sonuçlandırmak,</w:t>
            </w:r>
          </w:p>
          <w:p w:rsidR="002168BE" w:rsidRDefault="002168BE" w:rsidP="002168BE">
            <w:pPr>
              <w:pStyle w:val="GvdeMetniGirintisi2"/>
              <w:tabs>
                <w:tab w:val="left" w:pos="600"/>
              </w:tabs>
              <w:spacing w:after="0" w:line="240" w:lineRule="auto"/>
              <w:ind w:left="630"/>
              <w:jc w:val="both"/>
              <w:rPr>
                <w:rFonts w:ascii="Century" w:hAnsi="Century"/>
              </w:rPr>
            </w:pPr>
          </w:p>
          <w:p w:rsidR="00D94069" w:rsidRDefault="00D94069" w:rsidP="002168BE">
            <w:pPr>
              <w:pStyle w:val="GvdeMetniGirintisi2"/>
              <w:tabs>
                <w:tab w:val="left" w:pos="600"/>
              </w:tabs>
              <w:spacing w:after="0" w:line="240" w:lineRule="auto"/>
              <w:ind w:left="630"/>
              <w:jc w:val="both"/>
              <w:rPr>
                <w:rFonts w:ascii="Century" w:hAnsi="Century"/>
              </w:rPr>
            </w:pPr>
          </w:p>
          <w:p w:rsidR="00201C4B" w:rsidRDefault="00201C4B" w:rsidP="002168BE">
            <w:pPr>
              <w:pStyle w:val="GvdeMetniGirintisi2"/>
              <w:tabs>
                <w:tab w:val="left" w:pos="600"/>
              </w:tabs>
              <w:spacing w:after="0" w:line="240" w:lineRule="auto"/>
              <w:ind w:left="630"/>
              <w:jc w:val="both"/>
              <w:rPr>
                <w:rFonts w:ascii="Century" w:hAnsi="Century"/>
              </w:rPr>
            </w:pPr>
          </w:p>
          <w:p w:rsidR="00847826" w:rsidRDefault="00847826" w:rsidP="002168BE">
            <w:pPr>
              <w:pStyle w:val="GvdeMetniGirintisi2"/>
              <w:tabs>
                <w:tab w:val="left" w:pos="600"/>
              </w:tabs>
              <w:spacing w:after="0" w:line="240" w:lineRule="auto"/>
              <w:ind w:left="630"/>
              <w:jc w:val="both"/>
              <w:rPr>
                <w:rFonts w:ascii="Century" w:hAnsi="Century"/>
              </w:rPr>
            </w:pPr>
          </w:p>
          <w:p w:rsidR="00403C2A" w:rsidRPr="00367FA3" w:rsidRDefault="00403C2A" w:rsidP="00D15063">
            <w:pPr>
              <w:pStyle w:val="GvdeMetniGirintisi2"/>
              <w:numPr>
                <w:ilvl w:val="0"/>
                <w:numId w:val="6"/>
              </w:numPr>
              <w:tabs>
                <w:tab w:val="left" w:pos="600"/>
                <w:tab w:val="num" w:pos="630"/>
                <w:tab w:val="left" w:pos="720"/>
              </w:tabs>
              <w:spacing w:after="0" w:line="240" w:lineRule="auto"/>
              <w:ind w:left="630" w:hanging="270"/>
              <w:jc w:val="both"/>
              <w:rPr>
                <w:rFonts w:ascii="Century" w:hAnsi="Century"/>
              </w:rPr>
            </w:pPr>
            <w:r w:rsidRPr="00367FA3">
              <w:rPr>
                <w:rFonts w:ascii="Century" w:hAnsi="Century"/>
              </w:rPr>
              <w:lastRenderedPageBreak/>
              <w:t>Sigortacılık ve diğer mali piyasalar hakkında konsolide raporlar düzenlemek,</w:t>
            </w:r>
          </w:p>
          <w:p w:rsidR="00403C2A" w:rsidRPr="00367FA3" w:rsidRDefault="00403C2A" w:rsidP="00D15063">
            <w:pPr>
              <w:pStyle w:val="GvdeMetniGirintisi2"/>
              <w:numPr>
                <w:ilvl w:val="0"/>
                <w:numId w:val="6"/>
              </w:numPr>
              <w:tabs>
                <w:tab w:val="left" w:pos="600"/>
                <w:tab w:val="num" w:pos="630"/>
                <w:tab w:val="left" w:pos="720"/>
              </w:tabs>
              <w:spacing w:after="0" w:line="240" w:lineRule="auto"/>
              <w:ind w:left="630" w:hanging="270"/>
              <w:jc w:val="both"/>
              <w:rPr>
                <w:rFonts w:ascii="Century" w:hAnsi="Century"/>
              </w:rPr>
            </w:pPr>
            <w:r w:rsidRPr="00367FA3">
              <w:rPr>
                <w:rFonts w:ascii="Century" w:hAnsi="Century"/>
              </w:rPr>
              <w:t>Sigortacılık ve diğer mali piyasalarla ilgili çalışmalara katılmak ve mütaala vermek,</w:t>
            </w:r>
          </w:p>
          <w:p w:rsidR="00403C2A" w:rsidRPr="00367FA3" w:rsidRDefault="00403C2A" w:rsidP="00D15063">
            <w:pPr>
              <w:pStyle w:val="GvdeMetniGirintisi2"/>
              <w:numPr>
                <w:ilvl w:val="0"/>
                <w:numId w:val="6"/>
              </w:numPr>
              <w:tabs>
                <w:tab w:val="left" w:pos="600"/>
                <w:tab w:val="num" w:pos="630"/>
                <w:tab w:val="left" w:pos="720"/>
              </w:tabs>
              <w:spacing w:after="0" w:line="240" w:lineRule="auto"/>
              <w:ind w:left="630" w:hanging="270"/>
              <w:jc w:val="both"/>
              <w:rPr>
                <w:rFonts w:ascii="Century" w:hAnsi="Century"/>
              </w:rPr>
            </w:pPr>
            <w:r w:rsidRPr="00367FA3">
              <w:rPr>
                <w:rFonts w:ascii="Century" w:hAnsi="Century"/>
              </w:rPr>
              <w:t>Müsteşarın Kurul tarafından yürütülmesini uygun gördüğü sigortacılık, mali piyasalar ve kurumlarla ilgili diğer inceleme ve denetleme faaliyetlerinde bulunmak,</w:t>
            </w:r>
          </w:p>
          <w:p w:rsidR="00403C2A" w:rsidRPr="00367FA3" w:rsidRDefault="00403C2A" w:rsidP="00D15063">
            <w:pPr>
              <w:pStyle w:val="GvdeMetniGirintisi2"/>
              <w:numPr>
                <w:ilvl w:val="0"/>
                <w:numId w:val="6"/>
              </w:numPr>
              <w:tabs>
                <w:tab w:val="left" w:pos="600"/>
                <w:tab w:val="num" w:pos="630"/>
                <w:tab w:val="left" w:pos="720"/>
              </w:tabs>
              <w:spacing w:after="0" w:line="240" w:lineRule="auto"/>
              <w:ind w:left="630" w:hanging="270"/>
              <w:jc w:val="both"/>
              <w:rPr>
                <w:rFonts w:ascii="Century" w:hAnsi="Century"/>
              </w:rPr>
            </w:pPr>
            <w:r w:rsidRPr="00367FA3">
              <w:rPr>
                <w:rFonts w:ascii="Century" w:hAnsi="Century"/>
              </w:rPr>
              <w:t>Kurulun görev ve yetki alanına giren konularda mevzuat ve uygulama ile ilgili her türlü araştırma ve çalışmaları yapmak, yürütmek, görüş bildirmek ve tekliflerde bulunmakla</w:t>
            </w:r>
          </w:p>
          <w:p w:rsidR="00403C2A" w:rsidRPr="00367FA3" w:rsidRDefault="00403C2A" w:rsidP="00403C2A">
            <w:pPr>
              <w:autoSpaceDE w:val="0"/>
              <w:autoSpaceDN w:val="0"/>
              <w:adjustRightInd w:val="0"/>
              <w:jc w:val="both"/>
              <w:rPr>
                <w:rFonts w:ascii="Century" w:hAnsi="Century"/>
                <w:lang w:val="tr-TR"/>
              </w:rPr>
            </w:pPr>
          </w:p>
          <w:p w:rsidR="00403C2A" w:rsidRPr="00367FA3" w:rsidRDefault="00403C2A" w:rsidP="00403C2A">
            <w:pPr>
              <w:autoSpaceDE w:val="0"/>
              <w:autoSpaceDN w:val="0"/>
              <w:adjustRightInd w:val="0"/>
              <w:jc w:val="both"/>
              <w:rPr>
                <w:rFonts w:ascii="Century" w:hAnsi="Century"/>
                <w:lang w:val="tr-TR"/>
              </w:rPr>
            </w:pPr>
            <w:r w:rsidRPr="00367FA3">
              <w:rPr>
                <w:rFonts w:ascii="Century" w:hAnsi="Century"/>
                <w:lang w:val="tr-TR"/>
              </w:rPr>
              <w:t>görevli ve yetkilidir.</w:t>
            </w:r>
          </w:p>
          <w:p w:rsidR="00403C2A" w:rsidRPr="00367FA3" w:rsidRDefault="00403C2A" w:rsidP="00403C2A">
            <w:pPr>
              <w:autoSpaceDE w:val="0"/>
              <w:autoSpaceDN w:val="0"/>
              <w:adjustRightInd w:val="0"/>
              <w:jc w:val="both"/>
              <w:rPr>
                <w:rFonts w:ascii="Century" w:hAnsi="Century"/>
                <w:lang w:val="tr-TR"/>
              </w:rPr>
            </w:pPr>
          </w:p>
          <w:p w:rsidR="00403C2A" w:rsidRPr="00367FA3" w:rsidRDefault="00403C2A" w:rsidP="00403C2A">
            <w:pPr>
              <w:tabs>
                <w:tab w:val="left" w:pos="720"/>
                <w:tab w:val="center" w:pos="4536"/>
              </w:tabs>
              <w:jc w:val="center"/>
              <w:rPr>
                <w:rFonts w:ascii="Century" w:hAnsi="Century"/>
                <w:lang w:val="tr-TR"/>
              </w:rPr>
            </w:pPr>
          </w:p>
        </w:tc>
        <w:tc>
          <w:tcPr>
            <w:tcW w:w="236" w:type="dxa"/>
          </w:tcPr>
          <w:p w:rsidR="00403C2A" w:rsidRPr="00367FA3" w:rsidRDefault="00403C2A" w:rsidP="00584A9C">
            <w:pPr>
              <w:rPr>
                <w:rFonts w:ascii="Century" w:hAnsi="Century"/>
                <w:lang w:val="tr-TR"/>
              </w:rPr>
            </w:pPr>
          </w:p>
        </w:tc>
        <w:tc>
          <w:tcPr>
            <w:tcW w:w="4804" w:type="dxa"/>
          </w:tcPr>
          <w:p w:rsidR="00403C2A" w:rsidRPr="00CF3FF2" w:rsidRDefault="00403C2A" w:rsidP="00403C2A">
            <w:pPr>
              <w:jc w:val="both"/>
              <w:rPr>
                <w:rFonts w:ascii="Century" w:hAnsi="Century" w:cs="Arial"/>
                <w:b/>
                <w:color w:val="404040"/>
              </w:rPr>
            </w:pPr>
            <w:r w:rsidRPr="00CF3FF2">
              <w:rPr>
                <w:rFonts w:ascii="Century" w:hAnsi="Century" w:cs="Arial"/>
                <w:b/>
                <w:color w:val="404040"/>
              </w:rPr>
              <w:t>UNDERSECRETARIAT of TREASURY</w:t>
            </w:r>
          </w:p>
          <w:p w:rsidR="00403C2A" w:rsidRPr="00CF3FF2" w:rsidRDefault="00403C2A" w:rsidP="00403C2A">
            <w:pPr>
              <w:jc w:val="both"/>
              <w:rPr>
                <w:rFonts w:ascii="Arial" w:hAnsi="Arial" w:cs="Arial"/>
                <w:b/>
                <w:color w:val="404040"/>
              </w:rPr>
            </w:pPr>
            <w:r w:rsidRPr="00CF3FF2">
              <w:rPr>
                <w:rFonts w:ascii="Century" w:hAnsi="Century" w:cs="Arial"/>
                <w:b/>
                <w:color w:val="404040"/>
              </w:rPr>
              <w:t>INSURANCE SUPERVISORY BOAR</w:t>
            </w:r>
            <w:r w:rsidRPr="00CF3FF2">
              <w:rPr>
                <w:rFonts w:ascii="Arial" w:hAnsi="Arial" w:cs="Arial"/>
                <w:b/>
                <w:color w:val="404040"/>
              </w:rPr>
              <w:t>D</w:t>
            </w:r>
          </w:p>
          <w:p w:rsidR="00403C2A" w:rsidRPr="00CF3FF2" w:rsidRDefault="00403C2A" w:rsidP="00403C2A">
            <w:pPr>
              <w:jc w:val="both"/>
              <w:rPr>
                <w:rFonts w:ascii="Century" w:hAnsi="Century" w:cs="Arial"/>
                <w:b/>
                <w:color w:val="404040"/>
              </w:rPr>
            </w:pPr>
            <w:r w:rsidRPr="00CF3FF2">
              <w:rPr>
                <w:rFonts w:ascii="Century" w:hAnsi="Century" w:cs="Arial"/>
                <w:b/>
                <w:color w:val="404040"/>
              </w:rPr>
              <w:t>(Establishment, Structure and Duties)</w:t>
            </w:r>
          </w:p>
          <w:p w:rsidR="00403C2A" w:rsidRPr="00CF3FF2" w:rsidRDefault="00403C2A" w:rsidP="00403C2A">
            <w:pPr>
              <w:jc w:val="both"/>
              <w:rPr>
                <w:rFonts w:ascii="Century" w:hAnsi="Century" w:cs="Arial"/>
                <w:color w:val="404040"/>
              </w:rPr>
            </w:pPr>
          </w:p>
          <w:p w:rsidR="00403C2A" w:rsidRPr="00CF3FF2" w:rsidRDefault="00403C2A" w:rsidP="00403C2A">
            <w:pPr>
              <w:jc w:val="both"/>
              <w:rPr>
                <w:rFonts w:ascii="Century" w:hAnsi="Century" w:cs="Arial"/>
                <w:color w:val="404040"/>
              </w:rPr>
            </w:pPr>
          </w:p>
          <w:p w:rsidR="00403C2A" w:rsidRPr="00CF3FF2" w:rsidRDefault="00403C2A" w:rsidP="00403C2A">
            <w:pPr>
              <w:jc w:val="both"/>
              <w:rPr>
                <w:rFonts w:ascii="Century" w:hAnsi="Century" w:cs="Arial"/>
                <w:color w:val="404040"/>
              </w:rPr>
            </w:pPr>
            <w:r w:rsidRPr="00CF3FF2">
              <w:rPr>
                <w:rFonts w:ascii="Century" w:hAnsi="Century" w:cs="Arial"/>
                <w:color w:val="404040"/>
              </w:rPr>
              <w:t>Insurance Supervisory Board was established in 1963 as “Sigorta Murakabe Kurulu” in order to supervise the real persons and legal entities operating in the field of insurance on behalf of public, with an autonomous structure.</w:t>
            </w:r>
          </w:p>
          <w:p w:rsidR="00177052" w:rsidRPr="00CF3FF2" w:rsidRDefault="00177052" w:rsidP="00177052">
            <w:pPr>
              <w:autoSpaceDE w:val="0"/>
              <w:autoSpaceDN w:val="0"/>
              <w:adjustRightInd w:val="0"/>
              <w:jc w:val="both"/>
              <w:rPr>
                <w:rFonts w:ascii="Century" w:hAnsi="Century"/>
                <w:color w:val="404040"/>
                <w:lang w:val="tr-TR"/>
              </w:rPr>
            </w:pPr>
          </w:p>
          <w:p w:rsidR="00403C2A" w:rsidRPr="00CF3FF2" w:rsidRDefault="00403C2A" w:rsidP="00403C2A">
            <w:pPr>
              <w:jc w:val="both"/>
              <w:rPr>
                <w:rFonts w:ascii="Century" w:hAnsi="Century" w:cs="Arial"/>
                <w:color w:val="404040"/>
              </w:rPr>
            </w:pPr>
            <w:r w:rsidRPr="00CF3FF2">
              <w:rPr>
                <w:rFonts w:ascii="Century" w:hAnsi="Century" w:cs="Arial"/>
                <w:color w:val="404040"/>
              </w:rPr>
              <w:t xml:space="preserve">Insurance Supervisory Board is included in the organization of Turkish Treasury as a central supervisory body due to Law about Organizations and Responsibilities of the Undersecretariat of Treasury and Foreign Trade numbered 4059. </w:t>
            </w:r>
          </w:p>
          <w:p w:rsidR="00177052" w:rsidRPr="00CF3FF2" w:rsidRDefault="00177052" w:rsidP="00177052">
            <w:pPr>
              <w:autoSpaceDE w:val="0"/>
              <w:autoSpaceDN w:val="0"/>
              <w:adjustRightInd w:val="0"/>
              <w:jc w:val="both"/>
              <w:rPr>
                <w:rFonts w:ascii="Century" w:hAnsi="Century"/>
                <w:color w:val="404040"/>
                <w:lang w:val="tr-TR"/>
              </w:rPr>
            </w:pPr>
          </w:p>
          <w:p w:rsidR="00A06D7D" w:rsidRPr="00CF3FF2" w:rsidRDefault="00A06D7D" w:rsidP="00177052">
            <w:pPr>
              <w:jc w:val="both"/>
              <w:rPr>
                <w:rFonts w:ascii="Century" w:hAnsi="Century" w:cs="Arial"/>
                <w:color w:val="404040"/>
              </w:rPr>
            </w:pPr>
          </w:p>
          <w:p w:rsidR="00403C2A" w:rsidRPr="00CF3FF2" w:rsidRDefault="00403C2A" w:rsidP="00177052">
            <w:pPr>
              <w:jc w:val="both"/>
              <w:rPr>
                <w:rFonts w:ascii="Century" w:hAnsi="Century" w:cs="Arial"/>
                <w:color w:val="404040"/>
              </w:rPr>
            </w:pPr>
            <w:r w:rsidRPr="00CF3FF2">
              <w:rPr>
                <w:rFonts w:ascii="Century" w:hAnsi="Century" w:cs="Arial"/>
                <w:color w:val="404040"/>
              </w:rPr>
              <w:t>Insurance Supervisory Board consists o</w:t>
            </w:r>
            <w:r w:rsidR="009E3A1B" w:rsidRPr="00CF3FF2">
              <w:rPr>
                <w:rFonts w:ascii="Century" w:hAnsi="Century" w:cs="Arial"/>
                <w:color w:val="404040"/>
              </w:rPr>
              <w:t>f one</w:t>
            </w:r>
            <w:r w:rsidR="00A50A07">
              <w:rPr>
                <w:rFonts w:ascii="Century" w:hAnsi="Century" w:cs="Arial"/>
                <w:color w:val="404040"/>
              </w:rPr>
              <w:t xml:space="preserve"> president, 3</w:t>
            </w:r>
            <w:r w:rsidR="00902AFA">
              <w:rPr>
                <w:rFonts w:ascii="Century" w:hAnsi="Century" w:cs="Arial"/>
                <w:color w:val="404040"/>
              </w:rPr>
              <w:t>2</w:t>
            </w:r>
            <w:r w:rsidR="009E3A1B" w:rsidRPr="00CF3FF2">
              <w:rPr>
                <w:rFonts w:ascii="Century" w:hAnsi="Century" w:cs="Arial"/>
                <w:color w:val="404040"/>
              </w:rPr>
              <w:t xml:space="preserve"> insurance supervisors, 15 actuaries and </w:t>
            </w:r>
            <w:r w:rsidR="00D168AC">
              <w:rPr>
                <w:rFonts w:ascii="Century" w:hAnsi="Century" w:cs="Arial"/>
                <w:color w:val="404040"/>
              </w:rPr>
              <w:t>7</w:t>
            </w:r>
            <w:r w:rsidRPr="00CF3FF2">
              <w:rPr>
                <w:rFonts w:ascii="Century" w:hAnsi="Century" w:cs="Arial"/>
                <w:color w:val="404040"/>
              </w:rPr>
              <w:t xml:space="preserve"> assistant insurance supervisors. Presidency of the Board has been in </w:t>
            </w:r>
            <w:smartTag w:uri="urn:schemas-microsoft-com:office:smarttags" w:element="place">
              <w:smartTag w:uri="urn:schemas-microsoft-com:office:smarttags" w:element="City">
                <w:r w:rsidRPr="00CF3FF2">
                  <w:rPr>
                    <w:rFonts w:ascii="Century" w:hAnsi="Century" w:cs="Arial"/>
                    <w:color w:val="404040"/>
                  </w:rPr>
                  <w:t>Ankara</w:t>
                </w:r>
              </w:smartTag>
            </w:smartTag>
            <w:r w:rsidR="008F74DE" w:rsidRPr="00CF3FF2">
              <w:rPr>
                <w:rFonts w:ascii="Century" w:hAnsi="Century" w:cs="Arial"/>
                <w:color w:val="404040"/>
              </w:rPr>
              <w:t xml:space="preserve">. </w:t>
            </w:r>
            <w:r w:rsidR="00902AFA">
              <w:rPr>
                <w:rFonts w:ascii="Century" w:hAnsi="Century" w:cs="Arial"/>
                <w:color w:val="404040"/>
              </w:rPr>
              <w:t>10</w:t>
            </w:r>
            <w:r w:rsidRPr="00CF3FF2">
              <w:rPr>
                <w:rFonts w:ascii="Century" w:hAnsi="Century" w:cs="Arial"/>
                <w:color w:val="404040"/>
              </w:rPr>
              <w:t xml:space="preserve"> insurance supervisors and 3 actuaries work in </w:t>
            </w:r>
            <w:smartTag w:uri="urn:schemas-microsoft-com:office:smarttags" w:element="place">
              <w:smartTag w:uri="urn:schemas-microsoft-com:office:smarttags" w:element="City">
                <w:r w:rsidRPr="00CF3FF2">
                  <w:rPr>
                    <w:rFonts w:ascii="Century" w:hAnsi="Century" w:cs="Arial"/>
                    <w:color w:val="404040"/>
                  </w:rPr>
                  <w:t>Ankara</w:t>
                </w:r>
              </w:smartTag>
            </w:smartTag>
            <w:r w:rsidRPr="00CF3FF2">
              <w:rPr>
                <w:rFonts w:ascii="Century" w:hAnsi="Century" w:cs="Arial"/>
                <w:color w:val="404040"/>
              </w:rPr>
              <w:t xml:space="preserve"> while others are employed in Istanbul Group Office.</w:t>
            </w:r>
          </w:p>
          <w:p w:rsidR="00177052" w:rsidRPr="00CF3FF2" w:rsidRDefault="00177052" w:rsidP="00177052">
            <w:pPr>
              <w:jc w:val="both"/>
              <w:rPr>
                <w:rFonts w:ascii="Century" w:hAnsi="Century" w:cs="Arial"/>
                <w:color w:val="404040"/>
              </w:rPr>
            </w:pPr>
          </w:p>
          <w:p w:rsidR="00D94069" w:rsidRPr="00CF3FF2" w:rsidRDefault="00D94069" w:rsidP="00177052">
            <w:pPr>
              <w:jc w:val="both"/>
              <w:rPr>
                <w:rFonts w:ascii="Century" w:hAnsi="Century" w:cs="Arial"/>
                <w:color w:val="404040"/>
              </w:rPr>
            </w:pPr>
          </w:p>
          <w:p w:rsidR="0004427B" w:rsidRPr="00CF3FF2" w:rsidRDefault="0004427B" w:rsidP="00177052">
            <w:pPr>
              <w:jc w:val="both"/>
              <w:rPr>
                <w:rFonts w:ascii="Century" w:hAnsi="Century" w:cs="Arial"/>
                <w:color w:val="404040"/>
              </w:rPr>
            </w:pPr>
          </w:p>
          <w:p w:rsidR="00403C2A" w:rsidRPr="00CF3FF2" w:rsidRDefault="00403C2A" w:rsidP="00177052">
            <w:pPr>
              <w:jc w:val="both"/>
              <w:rPr>
                <w:rFonts w:ascii="Century" w:hAnsi="Century" w:cs="Arial"/>
                <w:color w:val="404040"/>
              </w:rPr>
            </w:pPr>
            <w:r w:rsidRPr="00CF3FF2">
              <w:rPr>
                <w:rFonts w:ascii="Century" w:hAnsi="Century" w:cs="Arial"/>
                <w:color w:val="404040"/>
              </w:rPr>
              <w:t xml:space="preserve">Insurance Supervisory Board, with the approval or directive of the </w:t>
            </w:r>
            <w:r w:rsidR="007C2ED8" w:rsidRPr="00CF3FF2">
              <w:rPr>
                <w:rFonts w:ascii="Century" w:hAnsi="Century" w:cs="Arial"/>
                <w:color w:val="404040"/>
              </w:rPr>
              <w:t>Undersecretary of</w:t>
            </w:r>
            <w:r w:rsidR="00177052" w:rsidRPr="00CF3FF2">
              <w:rPr>
                <w:rFonts w:ascii="Century" w:hAnsi="Century" w:cs="Arial"/>
                <w:color w:val="404040"/>
              </w:rPr>
              <w:t xml:space="preserve"> Treasury</w:t>
            </w:r>
            <w:r w:rsidRPr="00CF3FF2">
              <w:rPr>
                <w:rFonts w:ascii="Century" w:hAnsi="Century" w:cs="Arial"/>
                <w:color w:val="404040"/>
              </w:rPr>
              <w:t>, has the following authorities;</w:t>
            </w:r>
          </w:p>
          <w:p w:rsidR="00403C2A" w:rsidRPr="00CF3FF2" w:rsidRDefault="00403C2A" w:rsidP="00177052">
            <w:pPr>
              <w:jc w:val="both"/>
              <w:rPr>
                <w:rFonts w:ascii="Century" w:hAnsi="Century" w:cs="Arial"/>
                <w:color w:val="404040"/>
              </w:rPr>
            </w:pPr>
          </w:p>
          <w:p w:rsidR="00403C2A" w:rsidRPr="00CF3FF2" w:rsidRDefault="00403C2A" w:rsidP="00D15063">
            <w:pPr>
              <w:pStyle w:val="GvdeMetniGirintisi2"/>
              <w:numPr>
                <w:ilvl w:val="0"/>
                <w:numId w:val="14"/>
              </w:numPr>
              <w:tabs>
                <w:tab w:val="clear" w:pos="720"/>
                <w:tab w:val="left" w:pos="601"/>
              </w:tabs>
              <w:spacing w:after="0" w:line="240" w:lineRule="auto"/>
              <w:ind w:left="629" w:hanging="272"/>
              <w:jc w:val="both"/>
              <w:rPr>
                <w:rFonts w:ascii="Century" w:hAnsi="Century"/>
                <w:color w:val="404040"/>
              </w:rPr>
            </w:pPr>
            <w:r w:rsidRPr="00CF3FF2">
              <w:rPr>
                <w:rFonts w:ascii="Century" w:hAnsi="Century"/>
                <w:color w:val="404040"/>
              </w:rPr>
              <w:t>Carrying out and concluding the duties given to the supervisors of the Board under the Insurance Supervision Law and the other related regulations.</w:t>
            </w:r>
          </w:p>
          <w:p w:rsidR="00177052" w:rsidRPr="00CF3FF2" w:rsidRDefault="00177052" w:rsidP="00177052">
            <w:pPr>
              <w:pStyle w:val="GvdeMetniGirintisi2"/>
              <w:spacing w:after="0" w:line="240" w:lineRule="auto"/>
              <w:ind w:left="0"/>
              <w:jc w:val="both"/>
              <w:rPr>
                <w:rFonts w:ascii="Century" w:hAnsi="Century"/>
                <w:color w:val="404040"/>
              </w:rPr>
            </w:pPr>
          </w:p>
          <w:p w:rsidR="00177052" w:rsidRPr="00CF3FF2" w:rsidRDefault="00177052" w:rsidP="00177052">
            <w:pPr>
              <w:pStyle w:val="GvdeMetniGirintisi2"/>
              <w:tabs>
                <w:tab w:val="left" w:pos="600"/>
              </w:tabs>
              <w:spacing w:after="0" w:line="240" w:lineRule="auto"/>
              <w:ind w:left="630"/>
              <w:jc w:val="both"/>
              <w:rPr>
                <w:rFonts w:ascii="Century" w:hAnsi="Century"/>
                <w:color w:val="404040"/>
              </w:rPr>
            </w:pPr>
          </w:p>
          <w:p w:rsidR="00A06D7D" w:rsidRDefault="00A06D7D" w:rsidP="00177052">
            <w:pPr>
              <w:pStyle w:val="GvdeMetniGirintisi2"/>
              <w:tabs>
                <w:tab w:val="left" w:pos="600"/>
              </w:tabs>
              <w:spacing w:after="0" w:line="240" w:lineRule="auto"/>
              <w:ind w:left="630"/>
              <w:jc w:val="both"/>
              <w:rPr>
                <w:rFonts w:ascii="Century" w:hAnsi="Century"/>
                <w:color w:val="404040"/>
              </w:rPr>
            </w:pPr>
          </w:p>
          <w:p w:rsidR="0004427B" w:rsidRDefault="0004427B" w:rsidP="00177052">
            <w:pPr>
              <w:pStyle w:val="GvdeMetniGirintisi2"/>
              <w:tabs>
                <w:tab w:val="left" w:pos="600"/>
              </w:tabs>
              <w:spacing w:after="0" w:line="240" w:lineRule="auto"/>
              <w:ind w:left="630"/>
              <w:jc w:val="both"/>
              <w:rPr>
                <w:rFonts w:ascii="Century" w:hAnsi="Century"/>
                <w:color w:val="404040"/>
              </w:rPr>
            </w:pPr>
          </w:p>
          <w:p w:rsidR="00201C4B" w:rsidRPr="00CF3FF2" w:rsidRDefault="00201C4B" w:rsidP="00177052">
            <w:pPr>
              <w:pStyle w:val="GvdeMetniGirintisi2"/>
              <w:tabs>
                <w:tab w:val="left" w:pos="600"/>
              </w:tabs>
              <w:spacing w:after="0" w:line="240" w:lineRule="auto"/>
              <w:ind w:left="630"/>
              <w:jc w:val="both"/>
              <w:rPr>
                <w:rFonts w:ascii="Century" w:hAnsi="Century"/>
                <w:color w:val="404040"/>
              </w:rPr>
            </w:pPr>
          </w:p>
          <w:p w:rsidR="00403C2A" w:rsidRPr="00CF3FF2" w:rsidRDefault="00403C2A" w:rsidP="00D15063">
            <w:pPr>
              <w:pStyle w:val="GvdeMetniGirintisi2"/>
              <w:numPr>
                <w:ilvl w:val="0"/>
                <w:numId w:val="14"/>
              </w:numPr>
              <w:tabs>
                <w:tab w:val="clear" w:pos="720"/>
                <w:tab w:val="left" w:pos="601"/>
              </w:tabs>
              <w:spacing w:after="0" w:line="240" w:lineRule="auto"/>
              <w:ind w:left="629" w:hanging="272"/>
              <w:jc w:val="both"/>
              <w:rPr>
                <w:rFonts w:ascii="Century" w:hAnsi="Century"/>
                <w:color w:val="404040"/>
              </w:rPr>
            </w:pPr>
            <w:r w:rsidRPr="00CF3FF2">
              <w:rPr>
                <w:rFonts w:ascii="Century" w:hAnsi="Century"/>
                <w:color w:val="404040"/>
              </w:rPr>
              <w:lastRenderedPageBreak/>
              <w:t>Preparing consolidated reports, providing suggestions following all developments in or out of the country to contribute the decisions about insurance and other financial markets.</w:t>
            </w:r>
          </w:p>
          <w:p w:rsidR="00403C2A" w:rsidRPr="00CF3FF2" w:rsidRDefault="00403C2A" w:rsidP="00D15063">
            <w:pPr>
              <w:pStyle w:val="GvdeMetniGirintisi2"/>
              <w:numPr>
                <w:ilvl w:val="0"/>
                <w:numId w:val="14"/>
              </w:numPr>
              <w:tabs>
                <w:tab w:val="clear" w:pos="720"/>
                <w:tab w:val="left" w:pos="601"/>
              </w:tabs>
              <w:spacing w:after="0" w:line="240" w:lineRule="auto"/>
              <w:ind w:left="629" w:hanging="272"/>
              <w:jc w:val="both"/>
              <w:rPr>
                <w:rFonts w:ascii="Century" w:hAnsi="Century"/>
                <w:color w:val="404040"/>
              </w:rPr>
            </w:pPr>
            <w:r w:rsidRPr="00CF3FF2">
              <w:rPr>
                <w:rFonts w:ascii="Century" w:hAnsi="Century"/>
                <w:color w:val="404040"/>
              </w:rPr>
              <w:t>Taking part  in all works about insurance and other financial markets and making comments and doing the additional duties demanded.</w:t>
            </w:r>
          </w:p>
          <w:p w:rsidR="00403C2A" w:rsidRPr="00CF3FF2" w:rsidRDefault="00403C2A" w:rsidP="00D15063">
            <w:pPr>
              <w:pStyle w:val="GvdeMetniGirintisi2"/>
              <w:numPr>
                <w:ilvl w:val="0"/>
                <w:numId w:val="14"/>
              </w:numPr>
              <w:tabs>
                <w:tab w:val="clear" w:pos="720"/>
                <w:tab w:val="left" w:pos="601"/>
              </w:tabs>
              <w:spacing w:after="0" w:line="240" w:lineRule="auto"/>
              <w:ind w:left="629" w:hanging="272"/>
              <w:jc w:val="both"/>
              <w:rPr>
                <w:rFonts w:ascii="Century" w:hAnsi="Century"/>
                <w:color w:val="404040"/>
              </w:rPr>
            </w:pPr>
            <w:r w:rsidRPr="00CF3FF2">
              <w:rPr>
                <w:rFonts w:ascii="Century" w:hAnsi="Century"/>
                <w:color w:val="404040"/>
              </w:rPr>
              <w:t>Scrutinizing and evaluating the documents, information and the results of the supervision and monitoring.</w:t>
            </w:r>
          </w:p>
          <w:p w:rsidR="00403C2A" w:rsidRPr="00CF3FF2" w:rsidRDefault="00403C2A" w:rsidP="00D15063">
            <w:pPr>
              <w:pStyle w:val="GvdeMetniGirintisi2"/>
              <w:numPr>
                <w:ilvl w:val="0"/>
                <w:numId w:val="14"/>
              </w:numPr>
              <w:tabs>
                <w:tab w:val="clear" w:pos="720"/>
                <w:tab w:val="left" w:pos="601"/>
              </w:tabs>
              <w:spacing w:after="0" w:line="240" w:lineRule="auto"/>
              <w:ind w:left="629" w:hanging="272"/>
              <w:jc w:val="both"/>
              <w:rPr>
                <w:rFonts w:ascii="Century" w:hAnsi="Century"/>
                <w:color w:val="404040"/>
              </w:rPr>
            </w:pPr>
            <w:r w:rsidRPr="00CF3FF2">
              <w:rPr>
                <w:rFonts w:ascii="Century" w:hAnsi="Century"/>
                <w:color w:val="404040"/>
              </w:rPr>
              <w:t>Giving opinions and providing suggestions to the Undersecretary about the measures to be taken.</w:t>
            </w:r>
          </w:p>
          <w:p w:rsidR="00403C2A" w:rsidRPr="00CF3FF2" w:rsidRDefault="00403C2A" w:rsidP="00403C2A">
            <w:pPr>
              <w:jc w:val="both"/>
              <w:rPr>
                <w:rFonts w:ascii="Century" w:hAnsi="Century"/>
                <w:color w:val="404040"/>
                <w:lang w:val="tr-TR"/>
              </w:rPr>
            </w:pPr>
          </w:p>
          <w:p w:rsidR="00403C2A" w:rsidRPr="00367FA3" w:rsidRDefault="00403C2A" w:rsidP="00403C2A">
            <w:pPr>
              <w:jc w:val="center"/>
              <w:rPr>
                <w:rFonts w:ascii="Century" w:hAnsi="Century"/>
                <w:b/>
                <w:lang w:val="tr-TR"/>
              </w:rPr>
            </w:pPr>
          </w:p>
        </w:tc>
      </w:tr>
      <w:tr w:rsidR="00403C2A" w:rsidRPr="00367FA3">
        <w:tc>
          <w:tcPr>
            <w:tcW w:w="4815" w:type="dxa"/>
          </w:tcPr>
          <w:p w:rsidR="00403C2A" w:rsidRPr="00367FA3" w:rsidRDefault="00403C2A" w:rsidP="00403C2A">
            <w:pPr>
              <w:tabs>
                <w:tab w:val="left" w:pos="720"/>
                <w:tab w:val="center" w:pos="4536"/>
              </w:tabs>
              <w:jc w:val="center"/>
              <w:rPr>
                <w:rFonts w:ascii="Century" w:hAnsi="Century"/>
                <w:lang w:val="tr-TR"/>
              </w:rPr>
            </w:pPr>
          </w:p>
        </w:tc>
        <w:tc>
          <w:tcPr>
            <w:tcW w:w="236" w:type="dxa"/>
          </w:tcPr>
          <w:p w:rsidR="00403C2A" w:rsidRPr="00367FA3" w:rsidRDefault="00403C2A" w:rsidP="00584A9C">
            <w:pPr>
              <w:rPr>
                <w:rFonts w:ascii="Century" w:hAnsi="Century"/>
                <w:lang w:val="tr-TR"/>
              </w:rPr>
            </w:pPr>
          </w:p>
        </w:tc>
        <w:tc>
          <w:tcPr>
            <w:tcW w:w="4804" w:type="dxa"/>
          </w:tcPr>
          <w:p w:rsidR="00403C2A" w:rsidRPr="00367FA3" w:rsidRDefault="00403C2A" w:rsidP="00403C2A">
            <w:pPr>
              <w:jc w:val="center"/>
              <w:rPr>
                <w:rFonts w:ascii="Century" w:hAnsi="Century"/>
                <w:b/>
                <w:lang w:val="tr-TR"/>
              </w:rPr>
            </w:pPr>
          </w:p>
        </w:tc>
      </w:tr>
    </w:tbl>
    <w:p w:rsidR="00403C2A" w:rsidRPr="00367FA3" w:rsidRDefault="00403C2A" w:rsidP="00672FAA">
      <w:pPr>
        <w:jc w:val="both"/>
        <w:rPr>
          <w:rFonts w:ascii="Century" w:hAnsi="Century"/>
          <w:lang w:val="tr-TR"/>
        </w:rPr>
      </w:pPr>
    </w:p>
    <w:p w:rsidR="00AE17E9" w:rsidRPr="00367FA3" w:rsidRDefault="00403C2A" w:rsidP="00672FAA">
      <w:pPr>
        <w:jc w:val="both"/>
        <w:rPr>
          <w:rFonts w:ascii="Century" w:hAnsi="Century"/>
          <w:lang w:val="tr-TR"/>
        </w:rPr>
      </w:pPr>
      <w:r w:rsidRPr="00367FA3">
        <w:rPr>
          <w:rFonts w:ascii="Century" w:hAnsi="Century"/>
          <w:lang w:val="tr-TR"/>
        </w:rPr>
        <w:br w:type="page"/>
      </w:r>
    </w:p>
    <w:p w:rsidR="002168BE" w:rsidRPr="00367FA3" w:rsidRDefault="002168BE" w:rsidP="00672FAA">
      <w:pPr>
        <w:jc w:val="both"/>
        <w:rPr>
          <w:rFonts w:ascii="Century" w:hAnsi="Century"/>
          <w:highlight w:val="yellow"/>
          <w:lang w:val="tr-TR"/>
        </w:rPr>
      </w:pPr>
    </w:p>
    <w:p w:rsidR="0021027C" w:rsidRPr="00367FA3" w:rsidRDefault="0021027C" w:rsidP="00672FAA">
      <w:pPr>
        <w:jc w:val="both"/>
        <w:rPr>
          <w:rFonts w:ascii="Century" w:hAnsi="Century"/>
          <w:highlight w:val="yellow"/>
          <w:lang w:val="tr-TR"/>
        </w:rPr>
      </w:pPr>
    </w:p>
    <w:p w:rsidR="0021027C" w:rsidRPr="00367FA3" w:rsidRDefault="0021027C" w:rsidP="00672FAA">
      <w:pPr>
        <w:jc w:val="both"/>
        <w:rPr>
          <w:rFonts w:ascii="Century" w:hAnsi="Century"/>
          <w:highlight w:val="yellow"/>
          <w:lang w:val="tr-TR"/>
        </w:rPr>
      </w:pPr>
    </w:p>
    <w:p w:rsidR="005D21D5" w:rsidRPr="00936722" w:rsidRDefault="005D21D5" w:rsidP="0021027C">
      <w:pPr>
        <w:jc w:val="center"/>
        <w:rPr>
          <w:rFonts w:ascii="Century" w:hAnsi="Century"/>
          <w:b/>
          <w:lang w:val="tr-TR"/>
        </w:rPr>
      </w:pPr>
      <w:r w:rsidRPr="00936722">
        <w:rPr>
          <w:rFonts w:ascii="Century" w:hAnsi="Century"/>
          <w:b/>
          <w:lang w:val="tr-TR"/>
        </w:rPr>
        <w:t>İÇİNDEKİLER</w:t>
      </w:r>
    </w:p>
    <w:p w:rsidR="005D21D5" w:rsidRPr="00367FA3" w:rsidRDefault="005D21D5"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4662CD" w:rsidRPr="004B5ECF" w:rsidRDefault="005D21D5">
      <w:pPr>
        <w:pStyle w:val="T1"/>
        <w:rPr>
          <w:b w:val="0"/>
          <w:bCs w:val="0"/>
          <w:caps w:val="0"/>
          <w:lang w:eastAsia="tr-TR"/>
        </w:rPr>
      </w:pPr>
      <w:r w:rsidRPr="004B5ECF">
        <w:rPr>
          <w:highlight w:val="yellow"/>
        </w:rPr>
        <w:fldChar w:fldCharType="begin"/>
      </w:r>
      <w:r w:rsidRPr="004B5ECF">
        <w:rPr>
          <w:highlight w:val="yellow"/>
        </w:rPr>
        <w:instrText xml:space="preserve"> TOC \o "1-4" \u </w:instrText>
      </w:r>
      <w:r w:rsidRPr="004B5ECF">
        <w:rPr>
          <w:highlight w:val="yellow"/>
        </w:rPr>
        <w:fldChar w:fldCharType="separate"/>
      </w:r>
      <w:r w:rsidR="004662CD" w:rsidRPr="004B5ECF">
        <w:t>1.</w:t>
      </w:r>
      <w:r w:rsidR="004662CD" w:rsidRPr="004B5ECF">
        <w:rPr>
          <w:b w:val="0"/>
          <w:bCs w:val="0"/>
          <w:caps w:val="0"/>
          <w:lang w:eastAsia="tr-TR"/>
        </w:rPr>
        <w:tab/>
      </w:r>
      <w:r w:rsidR="004662CD" w:rsidRPr="004B5ECF">
        <w:t>TÜRKİYE’DE  SİGORTACILIK ve BİREYSEL EMEKLİLİK SEKTÖRÜ</w:t>
      </w:r>
      <w:r w:rsidR="004662CD" w:rsidRPr="004B5ECF">
        <w:tab/>
      </w:r>
      <w:r w:rsidR="004662CD" w:rsidRPr="004B5ECF">
        <w:fldChar w:fldCharType="begin"/>
      </w:r>
      <w:r w:rsidR="004662CD" w:rsidRPr="004B5ECF">
        <w:instrText xml:space="preserve"> PAGEREF _Toc199251234 \h </w:instrText>
      </w:r>
      <w:r w:rsidR="004662CD" w:rsidRPr="004B5ECF">
        <w:fldChar w:fldCharType="separate"/>
      </w:r>
      <w:r w:rsidR="00DA718E">
        <w:t>1</w:t>
      </w:r>
      <w:r w:rsidR="004662CD" w:rsidRPr="004B5ECF">
        <w:fldChar w:fldCharType="end"/>
      </w:r>
    </w:p>
    <w:p w:rsidR="004662CD" w:rsidRPr="004B5ECF" w:rsidRDefault="004662CD">
      <w:pPr>
        <w:pStyle w:val="T2"/>
        <w:rPr>
          <w:smallCaps w:val="0"/>
          <w:noProof/>
          <w:lang w:eastAsia="tr-TR"/>
        </w:rPr>
      </w:pPr>
      <w:r w:rsidRPr="004B5ECF">
        <w:rPr>
          <w:noProof/>
        </w:rPr>
        <w:t>1.1.</w:t>
      </w:r>
      <w:r w:rsidRPr="004B5ECF">
        <w:rPr>
          <w:smallCaps w:val="0"/>
          <w:noProof/>
          <w:lang w:eastAsia="tr-TR"/>
        </w:rPr>
        <w:tab/>
      </w:r>
      <w:r w:rsidRPr="004B5ECF">
        <w:rPr>
          <w:noProof/>
        </w:rPr>
        <w:t>Dünya’da Sigortacılık ve Türk Sigortacılığının Yeri</w:t>
      </w:r>
      <w:r w:rsidRPr="004B5ECF">
        <w:rPr>
          <w:noProof/>
        </w:rPr>
        <w:tab/>
      </w:r>
      <w:r w:rsidRPr="004B5ECF">
        <w:rPr>
          <w:noProof/>
        </w:rPr>
        <w:fldChar w:fldCharType="begin"/>
      </w:r>
      <w:r w:rsidRPr="004B5ECF">
        <w:rPr>
          <w:noProof/>
        </w:rPr>
        <w:instrText xml:space="preserve"> PAGEREF _Toc199251235 \h </w:instrText>
      </w:r>
      <w:r w:rsidRPr="004B5ECF">
        <w:rPr>
          <w:noProof/>
        </w:rPr>
      </w:r>
      <w:r w:rsidRPr="004B5ECF">
        <w:rPr>
          <w:noProof/>
        </w:rPr>
        <w:fldChar w:fldCharType="separate"/>
      </w:r>
      <w:r w:rsidR="00DA718E">
        <w:rPr>
          <w:noProof/>
        </w:rPr>
        <w:t>1</w:t>
      </w:r>
      <w:r w:rsidRPr="004B5ECF">
        <w:rPr>
          <w:noProof/>
        </w:rPr>
        <w:fldChar w:fldCharType="end"/>
      </w:r>
    </w:p>
    <w:p w:rsidR="004662CD" w:rsidRPr="004B5ECF" w:rsidRDefault="004662CD">
      <w:pPr>
        <w:pStyle w:val="T2"/>
        <w:rPr>
          <w:smallCaps w:val="0"/>
          <w:noProof/>
          <w:lang w:eastAsia="tr-TR"/>
        </w:rPr>
      </w:pPr>
      <w:r w:rsidRPr="004B5ECF">
        <w:rPr>
          <w:noProof/>
        </w:rPr>
        <w:t>1.2.</w:t>
      </w:r>
      <w:r w:rsidRPr="004B5ECF">
        <w:rPr>
          <w:smallCaps w:val="0"/>
          <w:noProof/>
          <w:lang w:eastAsia="tr-TR"/>
        </w:rPr>
        <w:tab/>
      </w:r>
      <w:r w:rsidRPr="004B5ECF">
        <w:rPr>
          <w:noProof/>
        </w:rPr>
        <w:t>Finansal Sistem İçerisindeki Yeri</w:t>
      </w:r>
      <w:r w:rsidRPr="004B5ECF">
        <w:rPr>
          <w:noProof/>
        </w:rPr>
        <w:tab/>
      </w:r>
      <w:r w:rsidRPr="004B5ECF">
        <w:rPr>
          <w:noProof/>
        </w:rPr>
        <w:fldChar w:fldCharType="begin"/>
      </w:r>
      <w:r w:rsidRPr="004B5ECF">
        <w:rPr>
          <w:noProof/>
        </w:rPr>
        <w:instrText xml:space="preserve"> PAGEREF _Toc199251236 \h </w:instrText>
      </w:r>
      <w:r w:rsidRPr="004B5ECF">
        <w:rPr>
          <w:noProof/>
        </w:rPr>
      </w:r>
      <w:r w:rsidRPr="004B5ECF">
        <w:rPr>
          <w:noProof/>
        </w:rPr>
        <w:fldChar w:fldCharType="separate"/>
      </w:r>
      <w:r w:rsidR="00DA718E">
        <w:rPr>
          <w:noProof/>
        </w:rPr>
        <w:t>3</w:t>
      </w:r>
      <w:r w:rsidRPr="004B5ECF">
        <w:rPr>
          <w:noProof/>
        </w:rPr>
        <w:fldChar w:fldCharType="end"/>
      </w:r>
    </w:p>
    <w:p w:rsidR="004662CD" w:rsidRPr="004B5ECF" w:rsidRDefault="004662CD">
      <w:pPr>
        <w:pStyle w:val="T2"/>
        <w:rPr>
          <w:smallCaps w:val="0"/>
          <w:noProof/>
          <w:lang w:eastAsia="tr-TR"/>
        </w:rPr>
      </w:pPr>
      <w:r w:rsidRPr="004B5ECF">
        <w:rPr>
          <w:noProof/>
        </w:rPr>
        <w:t>1.3.</w:t>
      </w:r>
      <w:r w:rsidRPr="004B5ECF">
        <w:rPr>
          <w:smallCaps w:val="0"/>
          <w:noProof/>
          <w:lang w:eastAsia="tr-TR"/>
        </w:rPr>
        <w:tab/>
      </w:r>
      <w:r w:rsidRPr="004B5ECF">
        <w:rPr>
          <w:noProof/>
        </w:rPr>
        <w:t>Sigorta ve Bireysel Emeklilik   Şirketlerinin Genel Yapısı</w:t>
      </w:r>
      <w:r w:rsidRPr="004B5ECF">
        <w:rPr>
          <w:noProof/>
        </w:rPr>
        <w:tab/>
      </w:r>
      <w:r w:rsidRPr="004B5ECF">
        <w:rPr>
          <w:noProof/>
        </w:rPr>
        <w:fldChar w:fldCharType="begin"/>
      </w:r>
      <w:r w:rsidRPr="004B5ECF">
        <w:rPr>
          <w:noProof/>
        </w:rPr>
        <w:instrText xml:space="preserve"> PAGEREF _Toc199251237 \h </w:instrText>
      </w:r>
      <w:r w:rsidRPr="004B5ECF">
        <w:rPr>
          <w:noProof/>
        </w:rPr>
      </w:r>
      <w:r w:rsidRPr="004B5ECF">
        <w:rPr>
          <w:noProof/>
        </w:rPr>
        <w:fldChar w:fldCharType="separate"/>
      </w:r>
      <w:r w:rsidR="00DA718E">
        <w:rPr>
          <w:noProof/>
        </w:rPr>
        <w:t>5</w:t>
      </w:r>
      <w:r w:rsidRPr="004B5ECF">
        <w:rPr>
          <w:noProof/>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1.3.1. Sigorta ve Bireysel Emeklilik Şirketlerinin Yapısal Göstergeleri</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_Toc199251238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5</w:t>
      </w:r>
      <w:r w:rsidRPr="004B5ECF">
        <w:rPr>
          <w:rFonts w:ascii="Century" w:hAnsi="Century"/>
          <w:i w:val="0"/>
          <w:noProof/>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1.3.2. Sigorta ve Bireysel Emeklilik Şirketlerinin Yoğunlaşma Göstergeleri</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_Toc199251239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8</w:t>
      </w:r>
      <w:r w:rsidRPr="004B5ECF">
        <w:rPr>
          <w:rFonts w:ascii="Century" w:hAnsi="Century"/>
          <w:i w:val="0"/>
          <w:noProof/>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A.</w:t>
      </w:r>
      <w:r w:rsidRPr="004B5ECF">
        <w:rPr>
          <w:rFonts w:ascii="Century" w:hAnsi="Century"/>
          <w:noProof/>
          <w:sz w:val="20"/>
          <w:szCs w:val="20"/>
          <w:lang w:val="tr-TR" w:eastAsia="tr-TR"/>
        </w:rPr>
        <w:tab/>
      </w:r>
      <w:r w:rsidRPr="004B5ECF">
        <w:rPr>
          <w:rFonts w:ascii="Century" w:hAnsi="Century"/>
          <w:noProof/>
          <w:sz w:val="20"/>
          <w:szCs w:val="20"/>
          <w:lang w:val="tr-TR"/>
        </w:rPr>
        <w:t>Varlık Toplamına Göre Yoğunlaşma Göstergeleri</w:t>
      </w:r>
      <w:r w:rsidRPr="001D180C">
        <w:rPr>
          <w:rFonts w:ascii="Century" w:hAnsi="Century"/>
          <w:noProof/>
          <w:sz w:val="20"/>
          <w:szCs w:val="20"/>
          <w:lang w:val="tr-TR"/>
        </w:rPr>
        <w:tab/>
      </w:r>
      <w:r w:rsidRPr="004B5ECF">
        <w:rPr>
          <w:rFonts w:ascii="Century" w:hAnsi="Century"/>
          <w:noProof/>
          <w:sz w:val="20"/>
          <w:szCs w:val="20"/>
        </w:rPr>
        <w:fldChar w:fldCharType="begin"/>
      </w:r>
      <w:r w:rsidRPr="001D180C">
        <w:rPr>
          <w:rFonts w:ascii="Century" w:hAnsi="Century"/>
          <w:noProof/>
          <w:sz w:val="20"/>
          <w:szCs w:val="20"/>
          <w:lang w:val="tr-TR"/>
        </w:rPr>
        <w:instrText xml:space="preserve"> PAGEREF _Toc199251240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tr-TR"/>
        </w:rPr>
        <w:t>8</w:t>
      </w:r>
      <w:r w:rsidRPr="004B5ECF">
        <w:rPr>
          <w:rFonts w:ascii="Century" w:hAnsi="Century"/>
          <w:noProof/>
          <w:sz w:val="20"/>
          <w:szCs w:val="20"/>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B.</w:t>
      </w:r>
      <w:r w:rsidRPr="004B5ECF">
        <w:rPr>
          <w:rFonts w:ascii="Century" w:hAnsi="Century"/>
          <w:noProof/>
          <w:sz w:val="20"/>
          <w:szCs w:val="20"/>
          <w:lang w:val="tr-TR" w:eastAsia="tr-TR"/>
        </w:rPr>
        <w:tab/>
      </w:r>
      <w:r w:rsidRPr="004B5ECF">
        <w:rPr>
          <w:rFonts w:ascii="Century" w:hAnsi="Century"/>
          <w:noProof/>
          <w:sz w:val="20"/>
          <w:szCs w:val="20"/>
          <w:lang w:val="tr-TR"/>
        </w:rPr>
        <w:t>Prim Üretimine Göre Yoğunlaşma Göstergeleri</w:t>
      </w:r>
      <w:r w:rsidRPr="001D180C">
        <w:rPr>
          <w:rFonts w:ascii="Century" w:hAnsi="Century"/>
          <w:noProof/>
          <w:sz w:val="20"/>
          <w:szCs w:val="20"/>
          <w:lang w:val="de-DE"/>
        </w:rPr>
        <w:tab/>
      </w:r>
      <w:r w:rsidRPr="004B5ECF">
        <w:rPr>
          <w:rFonts w:ascii="Century" w:hAnsi="Century"/>
          <w:noProof/>
          <w:sz w:val="20"/>
          <w:szCs w:val="20"/>
        </w:rPr>
        <w:fldChar w:fldCharType="begin"/>
      </w:r>
      <w:r w:rsidRPr="001D180C">
        <w:rPr>
          <w:rFonts w:ascii="Century" w:hAnsi="Century"/>
          <w:noProof/>
          <w:sz w:val="20"/>
          <w:szCs w:val="20"/>
          <w:lang w:val="de-DE"/>
        </w:rPr>
        <w:instrText xml:space="preserve"> PAGEREF _Toc199251241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de-DE"/>
        </w:rPr>
        <w:t>9</w:t>
      </w:r>
      <w:r w:rsidRPr="004B5ECF">
        <w:rPr>
          <w:rFonts w:ascii="Century" w:hAnsi="Century"/>
          <w:noProof/>
          <w:sz w:val="20"/>
          <w:szCs w:val="20"/>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C.</w:t>
      </w:r>
      <w:r w:rsidRPr="004B5ECF">
        <w:rPr>
          <w:rFonts w:ascii="Century" w:hAnsi="Century"/>
          <w:noProof/>
          <w:sz w:val="20"/>
          <w:szCs w:val="20"/>
          <w:lang w:val="tr-TR" w:eastAsia="tr-TR"/>
        </w:rPr>
        <w:tab/>
      </w:r>
      <w:r w:rsidRPr="004B5ECF">
        <w:rPr>
          <w:rFonts w:ascii="Century" w:hAnsi="Century"/>
          <w:noProof/>
          <w:sz w:val="20"/>
          <w:szCs w:val="20"/>
          <w:lang w:val="tr-TR"/>
        </w:rPr>
        <w:t>Özsermaye Toplamına Göre Yoğunlaşma Göstergeleri</w:t>
      </w:r>
      <w:r w:rsidRPr="001D180C">
        <w:rPr>
          <w:rFonts w:ascii="Century" w:hAnsi="Century"/>
          <w:noProof/>
          <w:sz w:val="20"/>
          <w:szCs w:val="20"/>
          <w:lang w:val="tr-TR"/>
        </w:rPr>
        <w:tab/>
      </w:r>
      <w:r w:rsidRPr="004B5ECF">
        <w:rPr>
          <w:rFonts w:ascii="Century" w:hAnsi="Century"/>
          <w:noProof/>
          <w:sz w:val="20"/>
          <w:szCs w:val="20"/>
        </w:rPr>
        <w:fldChar w:fldCharType="begin"/>
      </w:r>
      <w:r w:rsidRPr="001D180C">
        <w:rPr>
          <w:rFonts w:ascii="Century" w:hAnsi="Century"/>
          <w:noProof/>
          <w:sz w:val="20"/>
          <w:szCs w:val="20"/>
          <w:lang w:val="tr-TR"/>
        </w:rPr>
        <w:instrText xml:space="preserve"> PAGEREF _Toc199251242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tr-TR"/>
        </w:rPr>
        <w:t>11</w:t>
      </w:r>
      <w:r w:rsidRPr="004B5ECF">
        <w:rPr>
          <w:rFonts w:ascii="Century" w:hAnsi="Century"/>
          <w:noProof/>
          <w:sz w:val="20"/>
          <w:szCs w:val="20"/>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1.3.3. Bireysel Emeklilik Faaliyetlerine İlişkin Göstergeler</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_Toc199251243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13</w:t>
      </w:r>
      <w:r w:rsidRPr="004B5ECF">
        <w:rPr>
          <w:rFonts w:ascii="Century" w:hAnsi="Century"/>
          <w:i w:val="0"/>
          <w:noProof/>
        </w:rPr>
        <w:fldChar w:fldCharType="end"/>
      </w:r>
    </w:p>
    <w:p w:rsidR="004662CD" w:rsidRPr="004B5ECF" w:rsidRDefault="004662CD">
      <w:pPr>
        <w:pStyle w:val="T2"/>
        <w:rPr>
          <w:smallCaps w:val="0"/>
          <w:noProof/>
          <w:lang w:eastAsia="tr-TR"/>
        </w:rPr>
      </w:pPr>
      <w:r w:rsidRPr="004B5ECF">
        <w:rPr>
          <w:noProof/>
        </w:rPr>
        <w:t>1.4.</w:t>
      </w:r>
      <w:r w:rsidRPr="004B5ECF">
        <w:rPr>
          <w:smallCaps w:val="0"/>
          <w:noProof/>
          <w:lang w:eastAsia="tr-TR"/>
        </w:rPr>
        <w:tab/>
      </w:r>
      <w:r w:rsidRPr="004B5ECF">
        <w:rPr>
          <w:noProof/>
        </w:rPr>
        <w:t>Sigorta, Reasürans ve Bireysel Emeklilik Şirketlerinin Mali Tabloları</w:t>
      </w:r>
      <w:r w:rsidRPr="004B5ECF">
        <w:rPr>
          <w:noProof/>
        </w:rPr>
        <w:tab/>
      </w:r>
      <w:r w:rsidRPr="004B5ECF">
        <w:rPr>
          <w:noProof/>
        </w:rPr>
        <w:fldChar w:fldCharType="begin"/>
      </w:r>
      <w:r w:rsidRPr="004B5ECF">
        <w:rPr>
          <w:noProof/>
        </w:rPr>
        <w:instrText xml:space="preserve"> PAGEREF _Toc199251244 \h </w:instrText>
      </w:r>
      <w:r w:rsidRPr="004B5ECF">
        <w:rPr>
          <w:noProof/>
        </w:rPr>
      </w:r>
      <w:r w:rsidRPr="004B5ECF">
        <w:rPr>
          <w:noProof/>
        </w:rPr>
        <w:fldChar w:fldCharType="separate"/>
      </w:r>
      <w:r w:rsidR="00DA718E">
        <w:rPr>
          <w:noProof/>
        </w:rPr>
        <w:t>16</w:t>
      </w:r>
      <w:r w:rsidRPr="004B5ECF">
        <w:rPr>
          <w:noProof/>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1.4.1. Sigortacılık ve Bireysel Emeklilik Sektörü Konsolide Bilançoları</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_Toc199251245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16</w:t>
      </w:r>
      <w:r w:rsidRPr="004B5ECF">
        <w:rPr>
          <w:rFonts w:ascii="Century" w:hAnsi="Century"/>
          <w:i w:val="0"/>
          <w:noProof/>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A.</w:t>
      </w:r>
      <w:r w:rsidRPr="004B5ECF">
        <w:rPr>
          <w:rFonts w:ascii="Century" w:hAnsi="Century"/>
          <w:noProof/>
          <w:sz w:val="20"/>
          <w:szCs w:val="20"/>
          <w:lang w:val="tr-TR" w:eastAsia="tr-TR"/>
        </w:rPr>
        <w:tab/>
      </w:r>
      <w:r w:rsidRPr="004B5ECF">
        <w:rPr>
          <w:rFonts w:ascii="Century" w:hAnsi="Century"/>
          <w:noProof/>
          <w:sz w:val="20"/>
          <w:szCs w:val="20"/>
          <w:lang w:val="tr-TR"/>
        </w:rPr>
        <w:t>Varlıklar</w:t>
      </w:r>
      <w:r w:rsidRPr="001D180C">
        <w:rPr>
          <w:rFonts w:ascii="Century" w:hAnsi="Century"/>
          <w:noProof/>
          <w:sz w:val="20"/>
          <w:szCs w:val="20"/>
          <w:lang w:val="tr-TR"/>
        </w:rPr>
        <w:tab/>
      </w:r>
      <w:r w:rsidRPr="004B5ECF">
        <w:rPr>
          <w:rFonts w:ascii="Century" w:hAnsi="Century"/>
          <w:noProof/>
          <w:sz w:val="20"/>
          <w:szCs w:val="20"/>
        </w:rPr>
        <w:fldChar w:fldCharType="begin"/>
      </w:r>
      <w:r w:rsidRPr="001D180C">
        <w:rPr>
          <w:rFonts w:ascii="Century" w:hAnsi="Century"/>
          <w:noProof/>
          <w:sz w:val="20"/>
          <w:szCs w:val="20"/>
          <w:lang w:val="tr-TR"/>
        </w:rPr>
        <w:instrText xml:space="preserve"> PAGEREF _Toc199251246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tr-TR"/>
        </w:rPr>
        <w:t>20</w:t>
      </w:r>
      <w:r w:rsidRPr="004B5ECF">
        <w:rPr>
          <w:rFonts w:ascii="Century" w:hAnsi="Century"/>
          <w:noProof/>
          <w:sz w:val="20"/>
          <w:szCs w:val="20"/>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B.</w:t>
      </w:r>
      <w:r w:rsidRPr="004B5ECF">
        <w:rPr>
          <w:rFonts w:ascii="Century" w:hAnsi="Century"/>
          <w:noProof/>
          <w:sz w:val="20"/>
          <w:szCs w:val="20"/>
          <w:lang w:val="tr-TR" w:eastAsia="tr-TR"/>
        </w:rPr>
        <w:tab/>
      </w:r>
      <w:r w:rsidRPr="004B5ECF">
        <w:rPr>
          <w:rFonts w:ascii="Century" w:hAnsi="Century"/>
          <w:noProof/>
          <w:sz w:val="20"/>
          <w:szCs w:val="20"/>
          <w:lang w:val="tr-TR"/>
        </w:rPr>
        <w:t>Yükümlülükler ve Özsermaye</w:t>
      </w:r>
      <w:r w:rsidRPr="001D180C">
        <w:rPr>
          <w:rFonts w:ascii="Century" w:hAnsi="Century"/>
          <w:noProof/>
          <w:sz w:val="20"/>
          <w:szCs w:val="20"/>
          <w:lang w:val="tr-TR"/>
        </w:rPr>
        <w:tab/>
      </w:r>
      <w:r w:rsidRPr="004B5ECF">
        <w:rPr>
          <w:rFonts w:ascii="Century" w:hAnsi="Century"/>
          <w:noProof/>
          <w:sz w:val="20"/>
          <w:szCs w:val="20"/>
        </w:rPr>
        <w:fldChar w:fldCharType="begin"/>
      </w:r>
      <w:r w:rsidRPr="001D180C">
        <w:rPr>
          <w:rFonts w:ascii="Century" w:hAnsi="Century"/>
          <w:noProof/>
          <w:sz w:val="20"/>
          <w:szCs w:val="20"/>
          <w:lang w:val="tr-TR"/>
        </w:rPr>
        <w:instrText xml:space="preserve"> PAGEREF _Toc199251247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tr-TR"/>
        </w:rPr>
        <w:t>22</w:t>
      </w:r>
      <w:r w:rsidRPr="004B5ECF">
        <w:rPr>
          <w:rFonts w:ascii="Century" w:hAnsi="Century"/>
          <w:noProof/>
          <w:sz w:val="20"/>
          <w:szCs w:val="20"/>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1.4.2. Sigortacılık ve Bireysel Emeklilik Sektörü Konsolide Gelir Tabloları</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_Toc199251248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24</w:t>
      </w:r>
      <w:r w:rsidRPr="004B5ECF">
        <w:rPr>
          <w:rFonts w:ascii="Century" w:hAnsi="Century"/>
          <w:i w:val="0"/>
          <w:noProof/>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A.</w:t>
      </w:r>
      <w:r w:rsidRPr="004B5ECF">
        <w:rPr>
          <w:rFonts w:ascii="Century" w:hAnsi="Century"/>
          <w:noProof/>
          <w:sz w:val="20"/>
          <w:szCs w:val="20"/>
          <w:lang w:val="tr-TR" w:eastAsia="tr-TR"/>
        </w:rPr>
        <w:tab/>
      </w:r>
      <w:r w:rsidRPr="004B5ECF">
        <w:rPr>
          <w:rFonts w:ascii="Century" w:hAnsi="Century"/>
          <w:noProof/>
          <w:sz w:val="20"/>
          <w:szCs w:val="20"/>
          <w:lang w:val="tr-TR"/>
        </w:rPr>
        <w:t>Gelir Gider Hesapları</w:t>
      </w:r>
      <w:r w:rsidRPr="001D180C">
        <w:rPr>
          <w:rFonts w:ascii="Century" w:hAnsi="Century"/>
          <w:noProof/>
          <w:sz w:val="20"/>
          <w:szCs w:val="20"/>
          <w:lang w:val="de-DE"/>
        </w:rPr>
        <w:tab/>
      </w:r>
      <w:r w:rsidRPr="004B5ECF">
        <w:rPr>
          <w:rFonts w:ascii="Century" w:hAnsi="Century"/>
          <w:noProof/>
          <w:sz w:val="20"/>
          <w:szCs w:val="20"/>
        </w:rPr>
        <w:fldChar w:fldCharType="begin"/>
      </w:r>
      <w:r w:rsidRPr="001D180C">
        <w:rPr>
          <w:rFonts w:ascii="Century" w:hAnsi="Century"/>
          <w:noProof/>
          <w:sz w:val="20"/>
          <w:szCs w:val="20"/>
          <w:lang w:val="de-DE"/>
        </w:rPr>
        <w:instrText xml:space="preserve"> PAGEREF _Toc199251249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de-DE"/>
        </w:rPr>
        <w:t>24</w:t>
      </w:r>
      <w:r w:rsidRPr="004B5ECF">
        <w:rPr>
          <w:rFonts w:ascii="Century" w:hAnsi="Century"/>
          <w:noProof/>
          <w:sz w:val="20"/>
          <w:szCs w:val="20"/>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B.</w:t>
      </w:r>
      <w:r w:rsidRPr="004B5ECF">
        <w:rPr>
          <w:rFonts w:ascii="Century" w:hAnsi="Century"/>
          <w:noProof/>
          <w:sz w:val="20"/>
          <w:szCs w:val="20"/>
          <w:lang w:val="tr-TR" w:eastAsia="tr-TR"/>
        </w:rPr>
        <w:tab/>
      </w:r>
      <w:r w:rsidRPr="004B5ECF">
        <w:rPr>
          <w:rFonts w:ascii="Century" w:hAnsi="Century"/>
          <w:noProof/>
          <w:sz w:val="20"/>
          <w:szCs w:val="20"/>
          <w:lang w:val="tr-TR"/>
        </w:rPr>
        <w:t>Prim ve Ödenen Tazminatlar</w:t>
      </w:r>
      <w:r w:rsidRPr="001D180C">
        <w:rPr>
          <w:rFonts w:ascii="Century" w:hAnsi="Century"/>
          <w:noProof/>
          <w:sz w:val="20"/>
          <w:szCs w:val="20"/>
          <w:lang w:val="de-DE"/>
        </w:rPr>
        <w:tab/>
      </w:r>
      <w:r w:rsidRPr="004B5ECF">
        <w:rPr>
          <w:rFonts w:ascii="Century" w:hAnsi="Century"/>
          <w:noProof/>
          <w:sz w:val="20"/>
          <w:szCs w:val="20"/>
        </w:rPr>
        <w:fldChar w:fldCharType="begin"/>
      </w:r>
      <w:r w:rsidRPr="001D180C">
        <w:rPr>
          <w:rFonts w:ascii="Century" w:hAnsi="Century"/>
          <w:noProof/>
          <w:sz w:val="20"/>
          <w:szCs w:val="20"/>
          <w:lang w:val="de-DE"/>
        </w:rPr>
        <w:instrText xml:space="preserve"> PAGEREF _Toc199251250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de-DE"/>
        </w:rPr>
        <w:t>25</w:t>
      </w:r>
      <w:r w:rsidRPr="004B5ECF">
        <w:rPr>
          <w:rFonts w:ascii="Century" w:hAnsi="Century"/>
          <w:noProof/>
          <w:sz w:val="20"/>
          <w:szCs w:val="20"/>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C.</w:t>
      </w:r>
      <w:r w:rsidRPr="004B5ECF">
        <w:rPr>
          <w:rFonts w:ascii="Century" w:hAnsi="Century"/>
          <w:noProof/>
          <w:sz w:val="20"/>
          <w:szCs w:val="20"/>
          <w:lang w:val="tr-TR" w:eastAsia="tr-TR"/>
        </w:rPr>
        <w:tab/>
      </w:r>
      <w:r w:rsidRPr="004B5ECF">
        <w:rPr>
          <w:rFonts w:ascii="Century" w:hAnsi="Century"/>
          <w:noProof/>
          <w:sz w:val="20"/>
          <w:szCs w:val="20"/>
          <w:lang w:val="tr-TR"/>
        </w:rPr>
        <w:t>Üretim Kanalları</w:t>
      </w:r>
      <w:r w:rsidRPr="001D180C">
        <w:rPr>
          <w:rFonts w:ascii="Century" w:hAnsi="Century"/>
          <w:noProof/>
          <w:sz w:val="20"/>
          <w:szCs w:val="20"/>
          <w:lang w:val="de-DE"/>
        </w:rPr>
        <w:tab/>
      </w:r>
      <w:r w:rsidRPr="004B5ECF">
        <w:rPr>
          <w:rFonts w:ascii="Century" w:hAnsi="Century"/>
          <w:noProof/>
          <w:sz w:val="20"/>
          <w:szCs w:val="20"/>
        </w:rPr>
        <w:fldChar w:fldCharType="begin"/>
      </w:r>
      <w:r w:rsidRPr="001D180C">
        <w:rPr>
          <w:rFonts w:ascii="Century" w:hAnsi="Century"/>
          <w:noProof/>
          <w:sz w:val="20"/>
          <w:szCs w:val="20"/>
          <w:lang w:val="de-DE"/>
        </w:rPr>
        <w:instrText xml:space="preserve"> PAGEREF _Toc199251251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de-DE"/>
        </w:rPr>
        <w:t>26</w:t>
      </w:r>
      <w:r w:rsidRPr="004B5ECF">
        <w:rPr>
          <w:rFonts w:ascii="Century" w:hAnsi="Century"/>
          <w:noProof/>
          <w:sz w:val="20"/>
          <w:szCs w:val="20"/>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D.</w:t>
      </w:r>
      <w:r w:rsidRPr="004B5ECF">
        <w:rPr>
          <w:rFonts w:ascii="Century" w:hAnsi="Century"/>
          <w:noProof/>
          <w:sz w:val="20"/>
          <w:szCs w:val="20"/>
          <w:lang w:val="tr-TR" w:eastAsia="tr-TR"/>
        </w:rPr>
        <w:tab/>
      </w:r>
      <w:r w:rsidRPr="004B5ECF">
        <w:rPr>
          <w:rFonts w:ascii="Century" w:hAnsi="Century"/>
          <w:noProof/>
          <w:sz w:val="20"/>
          <w:szCs w:val="20"/>
          <w:lang w:val="tr-TR"/>
        </w:rPr>
        <w:t>Teknik Göstergeler</w:t>
      </w:r>
      <w:r w:rsidRPr="001D180C">
        <w:rPr>
          <w:rFonts w:ascii="Century" w:hAnsi="Century"/>
          <w:noProof/>
          <w:sz w:val="20"/>
          <w:szCs w:val="20"/>
          <w:lang w:val="de-DE"/>
        </w:rPr>
        <w:tab/>
      </w:r>
      <w:r w:rsidRPr="004B5ECF">
        <w:rPr>
          <w:rFonts w:ascii="Century" w:hAnsi="Century"/>
          <w:noProof/>
          <w:sz w:val="20"/>
          <w:szCs w:val="20"/>
        </w:rPr>
        <w:fldChar w:fldCharType="begin"/>
      </w:r>
      <w:r w:rsidRPr="001D180C">
        <w:rPr>
          <w:rFonts w:ascii="Century" w:hAnsi="Century"/>
          <w:noProof/>
          <w:sz w:val="20"/>
          <w:szCs w:val="20"/>
          <w:lang w:val="de-DE"/>
        </w:rPr>
        <w:instrText xml:space="preserve"> PAGEREF _Toc199251252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de-DE"/>
        </w:rPr>
        <w:t>27</w:t>
      </w:r>
      <w:r w:rsidRPr="004B5ECF">
        <w:rPr>
          <w:rFonts w:ascii="Century" w:hAnsi="Century"/>
          <w:noProof/>
          <w:sz w:val="20"/>
          <w:szCs w:val="20"/>
        </w:rPr>
        <w:fldChar w:fldCharType="end"/>
      </w:r>
    </w:p>
    <w:p w:rsidR="004662CD" w:rsidRPr="004B5ECF" w:rsidRDefault="004662CD">
      <w:pPr>
        <w:pStyle w:val="T4"/>
        <w:rPr>
          <w:rFonts w:ascii="Century" w:hAnsi="Century"/>
          <w:noProof/>
          <w:sz w:val="20"/>
          <w:szCs w:val="20"/>
          <w:lang w:val="tr-TR" w:eastAsia="tr-TR"/>
        </w:rPr>
      </w:pPr>
      <w:r w:rsidRPr="004B5ECF">
        <w:rPr>
          <w:rFonts w:ascii="Century" w:hAnsi="Century"/>
          <w:noProof/>
          <w:sz w:val="20"/>
          <w:szCs w:val="20"/>
          <w:lang w:val="tr-TR"/>
        </w:rPr>
        <w:t>E.</w:t>
      </w:r>
      <w:r w:rsidRPr="004B5ECF">
        <w:rPr>
          <w:rFonts w:ascii="Century" w:hAnsi="Century"/>
          <w:noProof/>
          <w:sz w:val="20"/>
          <w:szCs w:val="20"/>
          <w:lang w:val="tr-TR" w:eastAsia="tr-TR"/>
        </w:rPr>
        <w:tab/>
      </w:r>
      <w:r w:rsidRPr="004B5ECF">
        <w:rPr>
          <w:rFonts w:ascii="Century" w:hAnsi="Century"/>
          <w:noProof/>
          <w:sz w:val="20"/>
          <w:szCs w:val="20"/>
          <w:lang w:val="tr-TR"/>
        </w:rPr>
        <w:t>Hayat Branşı Faaliyetleri</w:t>
      </w:r>
      <w:r w:rsidRPr="001D180C">
        <w:rPr>
          <w:rFonts w:ascii="Century" w:hAnsi="Century"/>
          <w:noProof/>
          <w:sz w:val="20"/>
          <w:szCs w:val="20"/>
          <w:lang w:val="tr-TR"/>
        </w:rPr>
        <w:tab/>
      </w:r>
      <w:r w:rsidRPr="004B5ECF">
        <w:rPr>
          <w:rFonts w:ascii="Century" w:hAnsi="Century"/>
          <w:noProof/>
          <w:sz w:val="20"/>
          <w:szCs w:val="20"/>
        </w:rPr>
        <w:fldChar w:fldCharType="begin"/>
      </w:r>
      <w:r w:rsidRPr="001D180C">
        <w:rPr>
          <w:rFonts w:ascii="Century" w:hAnsi="Century"/>
          <w:noProof/>
          <w:sz w:val="20"/>
          <w:szCs w:val="20"/>
          <w:lang w:val="tr-TR"/>
        </w:rPr>
        <w:instrText xml:space="preserve"> PAGEREF _Toc199251253 \h </w:instrText>
      </w:r>
      <w:r w:rsidRPr="004B5ECF">
        <w:rPr>
          <w:rFonts w:ascii="Century" w:hAnsi="Century"/>
          <w:noProof/>
          <w:sz w:val="20"/>
          <w:szCs w:val="20"/>
        </w:rPr>
      </w:r>
      <w:r w:rsidRPr="004B5ECF">
        <w:rPr>
          <w:rFonts w:ascii="Century" w:hAnsi="Century"/>
          <w:noProof/>
          <w:sz w:val="20"/>
          <w:szCs w:val="20"/>
        </w:rPr>
        <w:fldChar w:fldCharType="separate"/>
      </w:r>
      <w:r w:rsidR="00DA718E">
        <w:rPr>
          <w:rFonts w:ascii="Century" w:hAnsi="Century"/>
          <w:noProof/>
          <w:sz w:val="20"/>
          <w:szCs w:val="20"/>
          <w:lang w:val="tr-TR"/>
        </w:rPr>
        <w:t>28</w:t>
      </w:r>
      <w:r w:rsidRPr="004B5ECF">
        <w:rPr>
          <w:rFonts w:ascii="Century" w:hAnsi="Century"/>
          <w:noProof/>
          <w:sz w:val="20"/>
          <w:szCs w:val="20"/>
        </w:rPr>
        <w:fldChar w:fldCharType="end"/>
      </w:r>
    </w:p>
    <w:p w:rsidR="004662CD" w:rsidRPr="004B5ECF" w:rsidRDefault="004662CD">
      <w:pPr>
        <w:pStyle w:val="T2"/>
        <w:rPr>
          <w:smallCaps w:val="0"/>
          <w:noProof/>
          <w:lang w:eastAsia="tr-TR"/>
        </w:rPr>
      </w:pPr>
      <w:r w:rsidRPr="004B5ECF">
        <w:rPr>
          <w:noProof/>
        </w:rPr>
        <w:t xml:space="preserve">1.5. </w:t>
      </w:r>
      <w:r w:rsidRPr="004B5ECF">
        <w:rPr>
          <w:noProof/>
        </w:rPr>
        <w:tab/>
        <w:t>Sigorta Branşları İtibariyle Değerlendirme</w:t>
      </w:r>
      <w:r w:rsidRPr="004B5ECF">
        <w:rPr>
          <w:noProof/>
        </w:rPr>
        <w:tab/>
      </w:r>
      <w:r w:rsidRPr="004B5ECF">
        <w:rPr>
          <w:noProof/>
        </w:rPr>
        <w:fldChar w:fldCharType="begin"/>
      </w:r>
      <w:r w:rsidRPr="004B5ECF">
        <w:rPr>
          <w:noProof/>
        </w:rPr>
        <w:instrText xml:space="preserve"> PAGEREF _Toc199251254 \h </w:instrText>
      </w:r>
      <w:r w:rsidRPr="004B5ECF">
        <w:rPr>
          <w:noProof/>
        </w:rPr>
      </w:r>
      <w:r w:rsidRPr="004B5ECF">
        <w:rPr>
          <w:noProof/>
        </w:rPr>
        <w:fldChar w:fldCharType="separate"/>
      </w:r>
      <w:r w:rsidR="00DA718E">
        <w:rPr>
          <w:noProof/>
        </w:rPr>
        <w:t>29</w:t>
      </w:r>
      <w:r w:rsidRPr="004B5ECF">
        <w:rPr>
          <w:noProof/>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1.5.1. Branş Bazında Yapısal Göstergeler</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_Toc199251255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29</w:t>
      </w:r>
      <w:r w:rsidRPr="004B5ECF">
        <w:rPr>
          <w:rFonts w:ascii="Century" w:hAnsi="Century"/>
          <w:i w:val="0"/>
          <w:noProof/>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1.5.2. Branş Bazında Üretim ve Ödenen   Hasar Trendi</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_Toc199251256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31</w:t>
      </w:r>
      <w:r w:rsidRPr="004B5ECF">
        <w:rPr>
          <w:rFonts w:ascii="Century" w:hAnsi="Century"/>
          <w:i w:val="0"/>
          <w:noProof/>
        </w:rPr>
        <w:fldChar w:fldCharType="end"/>
      </w:r>
    </w:p>
    <w:p w:rsidR="004662CD" w:rsidRPr="004B5ECF" w:rsidRDefault="004662CD">
      <w:pPr>
        <w:pStyle w:val="T3"/>
        <w:rPr>
          <w:rFonts w:ascii="Century" w:hAnsi="Century"/>
          <w:i w:val="0"/>
          <w:iCs w:val="0"/>
          <w:noProof/>
          <w:lang w:val="tr-TR" w:eastAsia="tr-TR"/>
        </w:rPr>
      </w:pPr>
      <w:r w:rsidRPr="004B5ECF">
        <w:rPr>
          <w:rFonts w:ascii="Century" w:hAnsi="Century"/>
          <w:noProof/>
          <w:lang w:val="tr-TR"/>
        </w:rPr>
        <w:t>1.5.3. Branş ve Grup Şirket Ayrımında 2007 Yılı Değerlendirmesi</w:t>
      </w:r>
      <w:r w:rsidRPr="001D180C">
        <w:rPr>
          <w:rFonts w:ascii="Century" w:hAnsi="Century"/>
          <w:noProof/>
          <w:lang w:val="tr-TR"/>
        </w:rPr>
        <w:tab/>
      </w:r>
      <w:r w:rsidRPr="004B5ECF">
        <w:rPr>
          <w:rFonts w:ascii="Century" w:hAnsi="Century"/>
          <w:i w:val="0"/>
          <w:noProof/>
        </w:rPr>
        <w:fldChar w:fldCharType="begin"/>
      </w:r>
      <w:r w:rsidRPr="001D180C">
        <w:rPr>
          <w:rFonts w:ascii="Century" w:hAnsi="Century"/>
          <w:i w:val="0"/>
          <w:noProof/>
          <w:lang w:val="tr-TR"/>
        </w:rPr>
        <w:instrText xml:space="preserve"> PAGEREF _Toc199251257 \h </w:instrText>
      </w:r>
      <w:r w:rsidRPr="004B5ECF">
        <w:rPr>
          <w:rFonts w:ascii="Century" w:hAnsi="Century"/>
          <w:i w:val="0"/>
          <w:noProof/>
        </w:rPr>
      </w:r>
      <w:r w:rsidRPr="004B5ECF">
        <w:rPr>
          <w:rFonts w:ascii="Century" w:hAnsi="Century"/>
          <w:i w:val="0"/>
          <w:noProof/>
        </w:rPr>
        <w:fldChar w:fldCharType="separate"/>
      </w:r>
      <w:r w:rsidR="00DA718E">
        <w:rPr>
          <w:rFonts w:ascii="Century" w:hAnsi="Century"/>
          <w:i w:val="0"/>
          <w:noProof/>
          <w:lang w:val="tr-TR"/>
        </w:rPr>
        <w:t>33</w:t>
      </w:r>
      <w:r w:rsidRPr="004B5ECF">
        <w:rPr>
          <w:rFonts w:ascii="Century" w:hAnsi="Century"/>
          <w:i w:val="0"/>
          <w:noProof/>
        </w:rPr>
        <w:fldChar w:fldCharType="end"/>
      </w:r>
    </w:p>
    <w:p w:rsidR="004662CD" w:rsidRPr="004B5ECF" w:rsidRDefault="004662CD">
      <w:pPr>
        <w:pStyle w:val="T1"/>
        <w:rPr>
          <w:b w:val="0"/>
          <w:bCs w:val="0"/>
          <w:caps w:val="0"/>
          <w:lang w:eastAsia="tr-TR"/>
        </w:rPr>
      </w:pPr>
      <w:r w:rsidRPr="004B5ECF">
        <w:t>2.</w:t>
      </w:r>
      <w:r w:rsidRPr="004B5ECF">
        <w:rPr>
          <w:b w:val="0"/>
          <w:bCs w:val="0"/>
          <w:caps w:val="0"/>
          <w:lang w:eastAsia="tr-TR"/>
        </w:rPr>
        <w:tab/>
      </w:r>
      <w:r w:rsidRPr="004B5ECF">
        <w:t>SİGORTACILIK ALANINDA FAALİYET GÖSTEREN DİĞER KURULUŞLAR</w:t>
      </w:r>
      <w:r w:rsidRPr="004B5ECF">
        <w:tab/>
      </w:r>
      <w:r w:rsidRPr="004B5ECF">
        <w:fldChar w:fldCharType="begin"/>
      </w:r>
      <w:r w:rsidRPr="004B5ECF">
        <w:instrText xml:space="preserve"> PAGEREF _Toc199251258 \h </w:instrText>
      </w:r>
      <w:r w:rsidRPr="004B5ECF">
        <w:fldChar w:fldCharType="separate"/>
      </w:r>
      <w:r w:rsidR="00DA718E">
        <w:t>35</w:t>
      </w:r>
      <w:r w:rsidRPr="004B5ECF">
        <w:fldChar w:fldCharType="end"/>
      </w:r>
    </w:p>
    <w:p w:rsidR="004662CD" w:rsidRPr="004B5ECF" w:rsidRDefault="004662CD">
      <w:pPr>
        <w:pStyle w:val="T2"/>
        <w:rPr>
          <w:smallCaps w:val="0"/>
          <w:noProof/>
          <w:lang w:eastAsia="tr-TR"/>
        </w:rPr>
      </w:pPr>
      <w:r w:rsidRPr="004B5ECF">
        <w:rPr>
          <w:noProof/>
        </w:rPr>
        <w:t>2.1.</w:t>
      </w:r>
      <w:r w:rsidRPr="004B5ECF">
        <w:rPr>
          <w:smallCaps w:val="0"/>
          <w:noProof/>
          <w:lang w:eastAsia="tr-TR"/>
        </w:rPr>
        <w:tab/>
      </w:r>
      <w:r w:rsidRPr="004B5ECF">
        <w:rPr>
          <w:noProof/>
        </w:rPr>
        <w:t>Doğal Afet Sigortaları Kurumu (DASK)</w:t>
      </w:r>
      <w:r w:rsidRPr="004B5ECF">
        <w:rPr>
          <w:noProof/>
        </w:rPr>
        <w:tab/>
      </w:r>
      <w:r w:rsidRPr="004B5ECF">
        <w:rPr>
          <w:noProof/>
        </w:rPr>
        <w:fldChar w:fldCharType="begin"/>
      </w:r>
      <w:r w:rsidRPr="004B5ECF">
        <w:rPr>
          <w:noProof/>
        </w:rPr>
        <w:instrText xml:space="preserve"> PAGEREF _Toc199251259 \h </w:instrText>
      </w:r>
      <w:r w:rsidRPr="004B5ECF">
        <w:rPr>
          <w:noProof/>
        </w:rPr>
      </w:r>
      <w:r w:rsidRPr="004B5ECF">
        <w:rPr>
          <w:noProof/>
        </w:rPr>
        <w:fldChar w:fldCharType="separate"/>
      </w:r>
      <w:r w:rsidR="00DA718E">
        <w:rPr>
          <w:noProof/>
        </w:rPr>
        <w:t>35</w:t>
      </w:r>
      <w:r w:rsidRPr="004B5ECF">
        <w:rPr>
          <w:noProof/>
        </w:rPr>
        <w:fldChar w:fldCharType="end"/>
      </w:r>
    </w:p>
    <w:p w:rsidR="004662CD" w:rsidRPr="004B5ECF" w:rsidRDefault="004662CD">
      <w:pPr>
        <w:pStyle w:val="T2"/>
        <w:rPr>
          <w:smallCaps w:val="0"/>
          <w:noProof/>
          <w:lang w:eastAsia="tr-TR"/>
        </w:rPr>
      </w:pPr>
      <w:r w:rsidRPr="004B5ECF">
        <w:rPr>
          <w:noProof/>
        </w:rPr>
        <w:t xml:space="preserve">2.2. </w:t>
      </w:r>
      <w:r w:rsidRPr="004B5ECF">
        <w:rPr>
          <w:noProof/>
        </w:rPr>
        <w:tab/>
        <w:t>Emeklilik Gözetim Merkezi AŞ (EGM)</w:t>
      </w:r>
      <w:r w:rsidRPr="004B5ECF">
        <w:rPr>
          <w:noProof/>
        </w:rPr>
        <w:tab/>
      </w:r>
      <w:r w:rsidRPr="004B5ECF">
        <w:rPr>
          <w:noProof/>
        </w:rPr>
        <w:fldChar w:fldCharType="begin"/>
      </w:r>
      <w:r w:rsidRPr="004B5ECF">
        <w:rPr>
          <w:noProof/>
        </w:rPr>
        <w:instrText xml:space="preserve"> PAGEREF _Toc199251260 \h </w:instrText>
      </w:r>
      <w:r w:rsidRPr="004B5ECF">
        <w:rPr>
          <w:noProof/>
        </w:rPr>
      </w:r>
      <w:r w:rsidRPr="004B5ECF">
        <w:rPr>
          <w:noProof/>
        </w:rPr>
        <w:fldChar w:fldCharType="separate"/>
      </w:r>
      <w:r w:rsidR="00DA718E">
        <w:rPr>
          <w:noProof/>
        </w:rPr>
        <w:t>38</w:t>
      </w:r>
      <w:r w:rsidRPr="004B5ECF">
        <w:rPr>
          <w:noProof/>
        </w:rPr>
        <w:fldChar w:fldCharType="end"/>
      </w:r>
    </w:p>
    <w:p w:rsidR="004662CD" w:rsidRPr="004B5ECF" w:rsidRDefault="004662CD">
      <w:pPr>
        <w:pStyle w:val="T2"/>
        <w:rPr>
          <w:smallCaps w:val="0"/>
          <w:noProof/>
          <w:lang w:eastAsia="tr-TR"/>
        </w:rPr>
      </w:pPr>
      <w:r w:rsidRPr="004B5ECF">
        <w:rPr>
          <w:noProof/>
        </w:rPr>
        <w:t xml:space="preserve">2.3. </w:t>
      </w:r>
      <w:r w:rsidRPr="004B5ECF">
        <w:rPr>
          <w:noProof/>
        </w:rPr>
        <w:tab/>
        <w:t>Trafik Sigortası Bilgi Merkezi (TRAMER)</w:t>
      </w:r>
      <w:r w:rsidRPr="004B5ECF">
        <w:rPr>
          <w:noProof/>
        </w:rPr>
        <w:tab/>
      </w:r>
      <w:r w:rsidRPr="004B5ECF">
        <w:rPr>
          <w:noProof/>
        </w:rPr>
        <w:fldChar w:fldCharType="begin"/>
      </w:r>
      <w:r w:rsidRPr="004B5ECF">
        <w:rPr>
          <w:noProof/>
        </w:rPr>
        <w:instrText xml:space="preserve"> PAGEREF _Toc199251261 \h </w:instrText>
      </w:r>
      <w:r w:rsidRPr="004B5ECF">
        <w:rPr>
          <w:noProof/>
        </w:rPr>
      </w:r>
      <w:r w:rsidRPr="004B5ECF">
        <w:rPr>
          <w:noProof/>
        </w:rPr>
        <w:fldChar w:fldCharType="separate"/>
      </w:r>
      <w:r w:rsidR="00DA718E">
        <w:rPr>
          <w:noProof/>
        </w:rPr>
        <w:t>41</w:t>
      </w:r>
      <w:r w:rsidRPr="004B5ECF">
        <w:rPr>
          <w:noProof/>
        </w:rPr>
        <w:fldChar w:fldCharType="end"/>
      </w:r>
    </w:p>
    <w:p w:rsidR="004662CD" w:rsidRPr="004B5ECF" w:rsidRDefault="004662CD">
      <w:pPr>
        <w:pStyle w:val="T2"/>
        <w:rPr>
          <w:smallCaps w:val="0"/>
          <w:noProof/>
          <w:lang w:eastAsia="tr-TR"/>
        </w:rPr>
      </w:pPr>
      <w:r w:rsidRPr="004B5ECF">
        <w:rPr>
          <w:noProof/>
        </w:rPr>
        <w:t>2.4.</w:t>
      </w:r>
      <w:r w:rsidRPr="004B5ECF">
        <w:rPr>
          <w:smallCaps w:val="0"/>
          <w:noProof/>
          <w:lang w:eastAsia="tr-TR"/>
        </w:rPr>
        <w:tab/>
      </w:r>
      <w:r w:rsidRPr="004B5ECF">
        <w:rPr>
          <w:noProof/>
        </w:rPr>
        <w:t>Güvence Hesabı</w:t>
      </w:r>
      <w:r w:rsidRPr="004B5ECF">
        <w:rPr>
          <w:noProof/>
        </w:rPr>
        <w:tab/>
      </w:r>
      <w:r w:rsidRPr="004B5ECF">
        <w:rPr>
          <w:noProof/>
        </w:rPr>
        <w:fldChar w:fldCharType="begin"/>
      </w:r>
      <w:r w:rsidRPr="004B5ECF">
        <w:rPr>
          <w:noProof/>
        </w:rPr>
        <w:instrText xml:space="preserve"> PAGEREF _Toc199251262 \h </w:instrText>
      </w:r>
      <w:r w:rsidRPr="004B5ECF">
        <w:rPr>
          <w:noProof/>
        </w:rPr>
      </w:r>
      <w:r w:rsidRPr="004B5ECF">
        <w:rPr>
          <w:noProof/>
        </w:rPr>
        <w:fldChar w:fldCharType="separate"/>
      </w:r>
      <w:r w:rsidR="00DA718E">
        <w:rPr>
          <w:noProof/>
        </w:rPr>
        <w:t>42</w:t>
      </w:r>
      <w:r w:rsidRPr="004B5ECF">
        <w:rPr>
          <w:noProof/>
        </w:rPr>
        <w:fldChar w:fldCharType="end"/>
      </w:r>
    </w:p>
    <w:p w:rsidR="004662CD" w:rsidRPr="004B5ECF" w:rsidRDefault="004662CD">
      <w:pPr>
        <w:pStyle w:val="T2"/>
        <w:rPr>
          <w:smallCaps w:val="0"/>
          <w:noProof/>
          <w:lang w:eastAsia="tr-TR"/>
        </w:rPr>
      </w:pPr>
      <w:r w:rsidRPr="004B5ECF">
        <w:rPr>
          <w:noProof/>
        </w:rPr>
        <w:t>2.5.</w:t>
      </w:r>
      <w:r w:rsidRPr="004B5ECF">
        <w:rPr>
          <w:smallCaps w:val="0"/>
          <w:noProof/>
          <w:lang w:eastAsia="tr-TR"/>
        </w:rPr>
        <w:tab/>
      </w:r>
      <w:r w:rsidRPr="004B5ECF">
        <w:rPr>
          <w:noProof/>
        </w:rPr>
        <w:t>Türkiye Motorlu Taşıt Bürosu</w:t>
      </w:r>
      <w:r w:rsidRPr="004B5ECF">
        <w:rPr>
          <w:noProof/>
        </w:rPr>
        <w:tab/>
      </w:r>
      <w:r w:rsidRPr="004B5ECF">
        <w:rPr>
          <w:noProof/>
        </w:rPr>
        <w:fldChar w:fldCharType="begin"/>
      </w:r>
      <w:r w:rsidRPr="004B5ECF">
        <w:rPr>
          <w:noProof/>
        </w:rPr>
        <w:instrText xml:space="preserve"> PAGEREF _Toc199251263 \h </w:instrText>
      </w:r>
      <w:r w:rsidRPr="004B5ECF">
        <w:rPr>
          <w:noProof/>
        </w:rPr>
      </w:r>
      <w:r w:rsidRPr="004B5ECF">
        <w:rPr>
          <w:noProof/>
        </w:rPr>
        <w:fldChar w:fldCharType="separate"/>
      </w:r>
      <w:r w:rsidR="00DA718E">
        <w:rPr>
          <w:noProof/>
        </w:rPr>
        <w:t>45</w:t>
      </w:r>
      <w:r w:rsidRPr="004B5ECF">
        <w:rPr>
          <w:noProof/>
        </w:rPr>
        <w:fldChar w:fldCharType="end"/>
      </w:r>
    </w:p>
    <w:p w:rsidR="004662CD" w:rsidRPr="004B5ECF" w:rsidRDefault="004662CD">
      <w:pPr>
        <w:pStyle w:val="T2"/>
        <w:rPr>
          <w:smallCaps w:val="0"/>
          <w:noProof/>
          <w:lang w:eastAsia="tr-TR"/>
        </w:rPr>
      </w:pPr>
      <w:r w:rsidRPr="004B5ECF">
        <w:rPr>
          <w:noProof/>
        </w:rPr>
        <w:t xml:space="preserve">2.6. </w:t>
      </w:r>
      <w:r w:rsidRPr="004B5ECF">
        <w:rPr>
          <w:noProof/>
        </w:rPr>
        <w:tab/>
        <w:t>Tarım Sigortaları Havuz İşletmesi AŞ (TARSİM)</w:t>
      </w:r>
      <w:r w:rsidRPr="004B5ECF">
        <w:rPr>
          <w:noProof/>
        </w:rPr>
        <w:tab/>
      </w:r>
      <w:r w:rsidRPr="004B5ECF">
        <w:rPr>
          <w:noProof/>
        </w:rPr>
        <w:fldChar w:fldCharType="begin"/>
      </w:r>
      <w:r w:rsidRPr="004B5ECF">
        <w:rPr>
          <w:noProof/>
        </w:rPr>
        <w:instrText xml:space="preserve"> PAGEREF _Toc199251264 \h </w:instrText>
      </w:r>
      <w:r w:rsidRPr="004B5ECF">
        <w:rPr>
          <w:noProof/>
        </w:rPr>
      </w:r>
      <w:r w:rsidRPr="004B5ECF">
        <w:rPr>
          <w:noProof/>
        </w:rPr>
        <w:fldChar w:fldCharType="separate"/>
      </w:r>
      <w:r w:rsidR="00DA718E">
        <w:rPr>
          <w:noProof/>
        </w:rPr>
        <w:t>46</w:t>
      </w:r>
      <w:r w:rsidRPr="004B5ECF">
        <w:rPr>
          <w:noProof/>
        </w:rPr>
        <w:fldChar w:fldCharType="end"/>
      </w:r>
    </w:p>
    <w:p w:rsidR="004662CD" w:rsidRPr="004B5ECF" w:rsidRDefault="004662CD">
      <w:pPr>
        <w:pStyle w:val="T1"/>
        <w:rPr>
          <w:b w:val="0"/>
          <w:bCs w:val="0"/>
          <w:caps w:val="0"/>
          <w:lang w:eastAsia="tr-TR"/>
        </w:rPr>
      </w:pPr>
      <w:r w:rsidRPr="004B5ECF">
        <w:t xml:space="preserve">3. </w:t>
      </w:r>
      <w:r w:rsidR="0032629D">
        <w:t xml:space="preserve">     </w:t>
      </w:r>
      <w:r w:rsidRPr="004B5ECF">
        <w:t>2007 YILINDA MEVZUATTA YAPILAN DEĞİŞİKLİKLER</w:t>
      </w:r>
      <w:r w:rsidRPr="004B5ECF">
        <w:tab/>
      </w:r>
      <w:r w:rsidRPr="004B5ECF">
        <w:fldChar w:fldCharType="begin"/>
      </w:r>
      <w:r w:rsidRPr="004B5ECF">
        <w:instrText xml:space="preserve"> PAGEREF _Toc199251265 \h </w:instrText>
      </w:r>
      <w:r w:rsidRPr="004B5ECF">
        <w:fldChar w:fldCharType="separate"/>
      </w:r>
      <w:r w:rsidR="00DA718E">
        <w:t>49</w:t>
      </w:r>
      <w:r w:rsidRPr="004B5ECF">
        <w:fldChar w:fldCharType="end"/>
      </w:r>
    </w:p>
    <w:p w:rsidR="004662CD" w:rsidRPr="004B5ECF" w:rsidRDefault="004662CD">
      <w:pPr>
        <w:pStyle w:val="T2"/>
        <w:rPr>
          <w:smallCaps w:val="0"/>
          <w:noProof/>
          <w:lang w:eastAsia="tr-TR"/>
        </w:rPr>
      </w:pPr>
      <w:r w:rsidRPr="004B5ECF">
        <w:rPr>
          <w:noProof/>
        </w:rPr>
        <w:t>3.1-</w:t>
      </w:r>
      <w:r w:rsidRPr="004B5ECF">
        <w:rPr>
          <w:smallCaps w:val="0"/>
          <w:noProof/>
          <w:lang w:eastAsia="tr-TR"/>
        </w:rPr>
        <w:tab/>
      </w:r>
      <w:r w:rsidRPr="004B5ECF">
        <w:rPr>
          <w:noProof/>
        </w:rPr>
        <w:t>Kanun İle Yapılan Düzenlemeler</w:t>
      </w:r>
      <w:r w:rsidRPr="004B5ECF">
        <w:rPr>
          <w:noProof/>
        </w:rPr>
        <w:tab/>
      </w:r>
      <w:r w:rsidRPr="004B5ECF">
        <w:rPr>
          <w:noProof/>
        </w:rPr>
        <w:fldChar w:fldCharType="begin"/>
      </w:r>
      <w:r w:rsidRPr="004B5ECF">
        <w:rPr>
          <w:noProof/>
        </w:rPr>
        <w:instrText xml:space="preserve"> PAGEREF _Toc199251266 \h </w:instrText>
      </w:r>
      <w:r w:rsidRPr="004B5ECF">
        <w:rPr>
          <w:noProof/>
        </w:rPr>
      </w:r>
      <w:r w:rsidRPr="004B5ECF">
        <w:rPr>
          <w:noProof/>
        </w:rPr>
        <w:fldChar w:fldCharType="separate"/>
      </w:r>
      <w:r w:rsidR="00DA718E">
        <w:rPr>
          <w:noProof/>
        </w:rPr>
        <w:t>49</w:t>
      </w:r>
      <w:r w:rsidRPr="004B5ECF">
        <w:rPr>
          <w:noProof/>
        </w:rPr>
        <w:fldChar w:fldCharType="end"/>
      </w:r>
    </w:p>
    <w:p w:rsidR="004662CD" w:rsidRPr="004B5ECF" w:rsidRDefault="004662CD">
      <w:pPr>
        <w:pStyle w:val="T2"/>
        <w:rPr>
          <w:smallCaps w:val="0"/>
          <w:noProof/>
          <w:lang w:eastAsia="tr-TR"/>
        </w:rPr>
      </w:pPr>
      <w:r w:rsidRPr="004B5ECF">
        <w:rPr>
          <w:noProof/>
        </w:rPr>
        <w:t>3.2-</w:t>
      </w:r>
      <w:r w:rsidRPr="004B5ECF">
        <w:rPr>
          <w:smallCaps w:val="0"/>
          <w:noProof/>
          <w:lang w:eastAsia="tr-TR"/>
        </w:rPr>
        <w:tab/>
      </w:r>
      <w:r w:rsidRPr="004B5ECF">
        <w:rPr>
          <w:noProof/>
        </w:rPr>
        <w:t>Yönetmelik ile Yapılan Düzenlemeler</w:t>
      </w:r>
      <w:r w:rsidRPr="004B5ECF">
        <w:rPr>
          <w:noProof/>
        </w:rPr>
        <w:tab/>
      </w:r>
      <w:r w:rsidRPr="004B5ECF">
        <w:rPr>
          <w:noProof/>
        </w:rPr>
        <w:fldChar w:fldCharType="begin"/>
      </w:r>
      <w:r w:rsidRPr="004B5ECF">
        <w:rPr>
          <w:noProof/>
        </w:rPr>
        <w:instrText xml:space="preserve"> PAGEREF _Toc199251267 \h </w:instrText>
      </w:r>
      <w:r w:rsidRPr="004B5ECF">
        <w:rPr>
          <w:noProof/>
        </w:rPr>
      </w:r>
      <w:r w:rsidRPr="004B5ECF">
        <w:rPr>
          <w:noProof/>
        </w:rPr>
        <w:fldChar w:fldCharType="separate"/>
      </w:r>
      <w:r w:rsidR="00DA718E">
        <w:rPr>
          <w:noProof/>
        </w:rPr>
        <w:t>50</w:t>
      </w:r>
      <w:r w:rsidRPr="004B5ECF">
        <w:rPr>
          <w:noProof/>
        </w:rPr>
        <w:fldChar w:fldCharType="end"/>
      </w:r>
    </w:p>
    <w:p w:rsidR="004662CD" w:rsidRPr="004B5ECF" w:rsidRDefault="004662CD">
      <w:pPr>
        <w:pStyle w:val="T2"/>
        <w:rPr>
          <w:smallCaps w:val="0"/>
          <w:noProof/>
          <w:lang w:eastAsia="tr-TR"/>
        </w:rPr>
      </w:pPr>
      <w:r w:rsidRPr="004B5ECF">
        <w:rPr>
          <w:noProof/>
        </w:rPr>
        <w:t>3.3-</w:t>
      </w:r>
      <w:r w:rsidRPr="004B5ECF">
        <w:rPr>
          <w:smallCaps w:val="0"/>
          <w:noProof/>
          <w:lang w:eastAsia="tr-TR"/>
        </w:rPr>
        <w:tab/>
      </w:r>
      <w:r w:rsidRPr="004B5ECF">
        <w:rPr>
          <w:noProof/>
        </w:rPr>
        <w:t>Tebliğ ve Kararlar</w:t>
      </w:r>
      <w:r w:rsidRPr="004B5ECF">
        <w:rPr>
          <w:noProof/>
        </w:rPr>
        <w:tab/>
      </w:r>
      <w:r w:rsidRPr="004B5ECF">
        <w:rPr>
          <w:noProof/>
        </w:rPr>
        <w:fldChar w:fldCharType="begin"/>
      </w:r>
      <w:r w:rsidRPr="004B5ECF">
        <w:rPr>
          <w:noProof/>
        </w:rPr>
        <w:instrText xml:space="preserve"> PAGEREF _Toc199251268 \h </w:instrText>
      </w:r>
      <w:r w:rsidRPr="004B5ECF">
        <w:rPr>
          <w:noProof/>
        </w:rPr>
      </w:r>
      <w:r w:rsidRPr="004B5ECF">
        <w:rPr>
          <w:noProof/>
        </w:rPr>
        <w:fldChar w:fldCharType="separate"/>
      </w:r>
      <w:r w:rsidR="00DA718E">
        <w:rPr>
          <w:noProof/>
        </w:rPr>
        <w:t>51</w:t>
      </w:r>
      <w:r w:rsidRPr="004B5ECF">
        <w:rPr>
          <w:noProof/>
        </w:rPr>
        <w:fldChar w:fldCharType="end"/>
      </w:r>
    </w:p>
    <w:p w:rsidR="005D21D5" w:rsidRPr="00367FA3" w:rsidRDefault="005D21D5" w:rsidP="008D17FE">
      <w:pPr>
        <w:jc w:val="both"/>
        <w:rPr>
          <w:rFonts w:ascii="Century" w:hAnsi="Century"/>
          <w:highlight w:val="yellow"/>
          <w:lang w:val="tr-TR"/>
        </w:rPr>
      </w:pPr>
      <w:r w:rsidRPr="004B5ECF">
        <w:rPr>
          <w:rFonts w:ascii="Century" w:hAnsi="Century"/>
          <w:sz w:val="20"/>
          <w:szCs w:val="20"/>
          <w:highlight w:val="yellow"/>
          <w:lang w:val="tr-TR"/>
        </w:rPr>
        <w:fldChar w:fldCharType="end"/>
      </w: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936722" w:rsidRDefault="005D21D5" w:rsidP="00936722">
      <w:pPr>
        <w:jc w:val="both"/>
        <w:rPr>
          <w:rFonts w:ascii="Century" w:hAnsi="Century"/>
          <w:lang w:val="tr-TR"/>
        </w:rPr>
      </w:pPr>
      <w:r w:rsidRPr="00367FA3">
        <w:rPr>
          <w:rFonts w:ascii="Century" w:hAnsi="Century"/>
          <w:highlight w:val="yellow"/>
          <w:lang w:val="tr-TR"/>
        </w:rPr>
        <w:br w:type="page"/>
      </w:r>
    </w:p>
    <w:p w:rsidR="003204F5" w:rsidRDefault="003204F5" w:rsidP="00936722">
      <w:pPr>
        <w:jc w:val="both"/>
        <w:rPr>
          <w:rFonts w:ascii="Century" w:hAnsi="Century"/>
          <w:lang w:val="tr-TR"/>
        </w:rPr>
      </w:pPr>
    </w:p>
    <w:p w:rsidR="003204F5" w:rsidRDefault="003204F5" w:rsidP="00936722">
      <w:pPr>
        <w:jc w:val="both"/>
        <w:rPr>
          <w:rFonts w:ascii="Century" w:hAnsi="Century"/>
          <w:lang w:val="tr-TR"/>
        </w:rPr>
      </w:pPr>
    </w:p>
    <w:p w:rsidR="00201C4B" w:rsidRDefault="00936722" w:rsidP="00936722">
      <w:pPr>
        <w:jc w:val="both"/>
        <w:rPr>
          <w:rFonts w:ascii="Century" w:hAnsi="Century"/>
          <w:lang w:val="tr-TR"/>
        </w:rPr>
      </w:pPr>
      <w:r>
        <w:rPr>
          <w:rFonts w:ascii="Century" w:hAnsi="Century"/>
          <w:lang w:val="tr-TR"/>
        </w:rPr>
        <w:tab/>
      </w:r>
      <w:r>
        <w:rPr>
          <w:rFonts w:ascii="Century" w:hAnsi="Century"/>
          <w:lang w:val="tr-TR"/>
        </w:rPr>
        <w:tab/>
      </w:r>
      <w:r>
        <w:rPr>
          <w:rFonts w:ascii="Century" w:hAnsi="Century"/>
          <w:lang w:val="tr-TR"/>
        </w:rPr>
        <w:tab/>
      </w:r>
    </w:p>
    <w:p w:rsidR="00936722" w:rsidRPr="00E249BF" w:rsidRDefault="00936722" w:rsidP="00201C4B">
      <w:pPr>
        <w:jc w:val="center"/>
        <w:rPr>
          <w:rFonts w:ascii="Century" w:hAnsi="Century"/>
          <w:b/>
          <w:lang w:val="tr-TR"/>
        </w:rPr>
      </w:pPr>
      <w:r w:rsidRPr="00E249BF">
        <w:rPr>
          <w:rFonts w:ascii="Century" w:hAnsi="Century"/>
          <w:b/>
          <w:lang w:val="tr-TR"/>
        </w:rPr>
        <w:t>CONTENTS</w:t>
      </w:r>
    </w:p>
    <w:p w:rsidR="00936722" w:rsidRDefault="00936722" w:rsidP="00936722">
      <w:pPr>
        <w:jc w:val="both"/>
        <w:rPr>
          <w:rFonts w:ascii="Century" w:hAnsi="Century"/>
          <w:lang w:val="tr-TR"/>
        </w:rPr>
      </w:pPr>
    </w:p>
    <w:p w:rsidR="00936722" w:rsidRDefault="00936722" w:rsidP="00936722">
      <w:pPr>
        <w:jc w:val="both"/>
        <w:rPr>
          <w:rFonts w:ascii="Century" w:hAnsi="Century"/>
          <w:lang w:val="tr-TR"/>
        </w:rPr>
      </w:pPr>
    </w:p>
    <w:p w:rsidR="00936722" w:rsidRPr="004B5ECF" w:rsidRDefault="00936722" w:rsidP="00936722">
      <w:pPr>
        <w:pStyle w:val="T1"/>
        <w:rPr>
          <w:lang w:eastAsia="tr-TR"/>
        </w:rPr>
      </w:pPr>
      <w:r w:rsidRPr="004B5ECF">
        <w:fldChar w:fldCharType="begin"/>
      </w:r>
      <w:r w:rsidRPr="004B5ECF">
        <w:instrText xml:space="preserve"> TOC \o "1-4" \u </w:instrText>
      </w:r>
      <w:r w:rsidRPr="004B5ECF">
        <w:fldChar w:fldCharType="separate"/>
      </w:r>
      <w:r w:rsidRPr="004B5ECF">
        <w:t>1.</w:t>
      </w:r>
      <w:r w:rsidRPr="004B5ECF">
        <w:rPr>
          <w:lang w:eastAsia="tr-TR"/>
        </w:rPr>
        <w:tab/>
      </w:r>
      <w:r w:rsidRPr="004B5ECF">
        <w:t>INSURANCE and PRIVATE PENSION SECTOR In TURKEY</w:t>
      </w:r>
      <w:r w:rsidRPr="004B5ECF">
        <w:tab/>
        <w:t>1</w:t>
      </w:r>
    </w:p>
    <w:p w:rsidR="00936722" w:rsidRPr="004B5ECF" w:rsidRDefault="00936722" w:rsidP="00936722">
      <w:pPr>
        <w:pStyle w:val="T2"/>
        <w:rPr>
          <w:noProof/>
          <w:lang w:eastAsia="tr-TR"/>
        </w:rPr>
      </w:pPr>
      <w:r w:rsidRPr="004B5ECF">
        <w:rPr>
          <w:noProof/>
        </w:rPr>
        <w:t>1.1.</w:t>
      </w:r>
      <w:r w:rsidRPr="004B5ECF">
        <w:rPr>
          <w:noProof/>
          <w:lang w:eastAsia="tr-TR"/>
        </w:rPr>
        <w:tab/>
      </w:r>
      <w:r w:rsidRPr="004B5ECF">
        <w:t>Global Insurance Sector</w:t>
      </w:r>
      <w:r w:rsidRPr="004B5ECF">
        <w:rPr>
          <w:noProof/>
        </w:rPr>
        <w:tab/>
        <w:t>1</w:t>
      </w:r>
    </w:p>
    <w:p w:rsidR="00936722" w:rsidRPr="004B5ECF" w:rsidRDefault="00936722" w:rsidP="00936722">
      <w:pPr>
        <w:pStyle w:val="T2"/>
        <w:rPr>
          <w:noProof/>
          <w:lang w:eastAsia="tr-TR"/>
        </w:rPr>
      </w:pPr>
      <w:r w:rsidRPr="004B5ECF">
        <w:rPr>
          <w:noProof/>
        </w:rPr>
        <w:t>1.2.</w:t>
      </w:r>
      <w:r w:rsidRPr="004B5ECF">
        <w:rPr>
          <w:noProof/>
          <w:lang w:eastAsia="tr-TR"/>
        </w:rPr>
        <w:tab/>
      </w:r>
      <w:r w:rsidRPr="004B5ECF">
        <w:t>Insurance in Financial System</w:t>
      </w:r>
      <w:r w:rsidRPr="004B5ECF">
        <w:rPr>
          <w:noProof/>
        </w:rPr>
        <w:tab/>
        <w:t>3</w:t>
      </w:r>
    </w:p>
    <w:p w:rsidR="00936722" w:rsidRPr="004B5ECF" w:rsidRDefault="00936722" w:rsidP="00936722">
      <w:pPr>
        <w:pStyle w:val="T2"/>
        <w:rPr>
          <w:noProof/>
          <w:lang w:eastAsia="tr-TR"/>
        </w:rPr>
      </w:pPr>
      <w:r w:rsidRPr="004B5ECF">
        <w:rPr>
          <w:noProof/>
        </w:rPr>
        <w:t>1.3.</w:t>
      </w:r>
      <w:r w:rsidRPr="004B5ECF">
        <w:rPr>
          <w:noProof/>
          <w:lang w:eastAsia="tr-TR"/>
        </w:rPr>
        <w:tab/>
      </w:r>
      <w:r w:rsidRPr="004B5ECF">
        <w:t>General Structure of Insurance and Private Pension Companies</w:t>
      </w:r>
      <w:r w:rsidRPr="004B5ECF">
        <w:rPr>
          <w:noProof/>
        </w:rPr>
        <w:tab/>
        <w:t>5</w:t>
      </w:r>
    </w:p>
    <w:p w:rsidR="00936722" w:rsidRPr="004B5ECF" w:rsidRDefault="00936722" w:rsidP="00936722">
      <w:pPr>
        <w:pStyle w:val="T3"/>
        <w:rPr>
          <w:rFonts w:ascii="Century" w:hAnsi="Century"/>
          <w:i w:val="0"/>
          <w:noProof/>
          <w:lang w:val="tr-TR" w:eastAsia="tr-TR"/>
        </w:rPr>
      </w:pPr>
      <w:r w:rsidRPr="004B5ECF">
        <w:rPr>
          <w:rFonts w:ascii="Century" w:hAnsi="Century"/>
          <w:noProof/>
          <w:lang w:val="tr-TR"/>
        </w:rPr>
        <w:t xml:space="preserve">1.3.1. </w:t>
      </w:r>
      <w:r w:rsidRPr="004B5ECF">
        <w:rPr>
          <w:rFonts w:ascii="Century" w:hAnsi="Century"/>
          <w:lang w:val="tr-TR"/>
        </w:rPr>
        <w:t>S</w:t>
      </w:r>
      <w:r w:rsidRPr="004B5ECF">
        <w:rPr>
          <w:rFonts w:ascii="Century" w:hAnsi="Century"/>
        </w:rPr>
        <w:t>tructural Indicators of Insurance and Private Pension Companies</w:t>
      </w:r>
      <w:r w:rsidRPr="004B5ECF">
        <w:rPr>
          <w:rFonts w:ascii="Century" w:hAnsi="Century"/>
          <w:noProof/>
        </w:rPr>
        <w:tab/>
      </w:r>
      <w:r w:rsidRPr="004B5ECF">
        <w:rPr>
          <w:rFonts w:ascii="Century" w:hAnsi="Century"/>
          <w:i w:val="0"/>
          <w:noProof/>
        </w:rPr>
        <w:t>5</w:t>
      </w:r>
    </w:p>
    <w:p w:rsidR="00936722" w:rsidRPr="004B5ECF" w:rsidRDefault="00936722" w:rsidP="00936722">
      <w:pPr>
        <w:pStyle w:val="T3"/>
        <w:rPr>
          <w:rFonts w:ascii="Century" w:hAnsi="Century"/>
          <w:noProof/>
          <w:lang w:val="tr-TR" w:eastAsia="tr-TR"/>
        </w:rPr>
      </w:pPr>
      <w:r w:rsidRPr="004B5ECF">
        <w:rPr>
          <w:rFonts w:ascii="Century" w:hAnsi="Century"/>
          <w:noProof/>
          <w:lang w:val="tr-TR"/>
        </w:rPr>
        <w:t xml:space="preserve">1.3.2. </w:t>
      </w:r>
      <w:r w:rsidRPr="004B5ECF">
        <w:rPr>
          <w:rFonts w:ascii="Century" w:hAnsi="Century"/>
          <w:lang w:val="tr-TR"/>
        </w:rPr>
        <w:t>Concentration Indicators of The Insurance / Private Pension Companies</w:t>
      </w:r>
      <w:r w:rsidRPr="004B5ECF">
        <w:rPr>
          <w:rFonts w:ascii="Century" w:hAnsi="Century"/>
          <w:noProof/>
        </w:rPr>
        <w:tab/>
      </w:r>
      <w:r w:rsidRPr="004B5ECF">
        <w:rPr>
          <w:rFonts w:ascii="Century" w:hAnsi="Century"/>
          <w:i w:val="0"/>
          <w:noProof/>
        </w:rPr>
        <w:t>8</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A.</w:t>
      </w:r>
      <w:r w:rsidRPr="004B5ECF">
        <w:rPr>
          <w:rFonts w:ascii="Century" w:hAnsi="Century"/>
          <w:noProof/>
          <w:sz w:val="20"/>
          <w:szCs w:val="20"/>
          <w:lang w:val="tr-TR" w:eastAsia="tr-TR"/>
        </w:rPr>
        <w:tab/>
      </w:r>
      <w:r w:rsidRPr="004B5ECF">
        <w:rPr>
          <w:rFonts w:ascii="Century" w:hAnsi="Century"/>
          <w:sz w:val="20"/>
          <w:szCs w:val="20"/>
          <w:lang w:val="tr-TR"/>
        </w:rPr>
        <w:t>Concentration Indicators of Assets</w:t>
      </w:r>
      <w:r w:rsidRPr="004B5ECF">
        <w:rPr>
          <w:rFonts w:ascii="Century" w:hAnsi="Century"/>
          <w:noProof/>
          <w:sz w:val="20"/>
          <w:szCs w:val="20"/>
        </w:rPr>
        <w:tab/>
        <w:t>8</w:t>
      </w:r>
    </w:p>
    <w:p w:rsidR="00936722" w:rsidRPr="004B5ECF" w:rsidRDefault="00936722" w:rsidP="00936722">
      <w:pPr>
        <w:pStyle w:val="T4"/>
        <w:tabs>
          <w:tab w:val="clear" w:pos="9000"/>
          <w:tab w:val="left" w:pos="1200"/>
          <w:tab w:val="right" w:leader="dot" w:pos="9016"/>
        </w:tabs>
        <w:rPr>
          <w:rFonts w:ascii="Century" w:hAnsi="Century"/>
          <w:noProof/>
          <w:sz w:val="20"/>
          <w:szCs w:val="20"/>
        </w:rPr>
      </w:pPr>
      <w:r w:rsidRPr="004B5ECF">
        <w:rPr>
          <w:rFonts w:ascii="Century" w:hAnsi="Century"/>
          <w:noProof/>
          <w:sz w:val="20"/>
          <w:szCs w:val="20"/>
          <w:lang w:val="tr-TR"/>
        </w:rPr>
        <w:t>B.</w:t>
      </w:r>
      <w:r w:rsidRPr="004B5ECF">
        <w:rPr>
          <w:rFonts w:ascii="Century" w:hAnsi="Century"/>
          <w:noProof/>
          <w:sz w:val="20"/>
          <w:szCs w:val="20"/>
          <w:lang w:val="tr-TR" w:eastAsia="tr-TR"/>
        </w:rPr>
        <w:tab/>
      </w:r>
      <w:r w:rsidRPr="004B5ECF">
        <w:rPr>
          <w:rFonts w:ascii="Century" w:hAnsi="Century"/>
          <w:sz w:val="20"/>
          <w:szCs w:val="20"/>
          <w:lang w:val="tr-TR"/>
        </w:rPr>
        <w:t>Concentration Indicators Premium Volume</w:t>
      </w:r>
      <w:r w:rsidRPr="004B5ECF">
        <w:rPr>
          <w:rFonts w:ascii="Century" w:hAnsi="Century"/>
          <w:noProof/>
          <w:sz w:val="20"/>
          <w:szCs w:val="20"/>
        </w:rPr>
        <w:tab/>
        <w:t>9</w:t>
      </w:r>
    </w:p>
    <w:p w:rsidR="00465516" w:rsidRPr="004B5ECF" w:rsidRDefault="004662CD" w:rsidP="00AB70A9">
      <w:pPr>
        <w:tabs>
          <w:tab w:val="left" w:pos="720"/>
        </w:tabs>
        <w:rPr>
          <w:rFonts w:ascii="Century" w:hAnsi="Century"/>
          <w:sz w:val="20"/>
          <w:szCs w:val="20"/>
        </w:rPr>
      </w:pPr>
      <w:r w:rsidRPr="004B5ECF">
        <w:rPr>
          <w:rFonts w:ascii="Century" w:hAnsi="Century"/>
          <w:sz w:val="20"/>
          <w:szCs w:val="20"/>
        </w:rPr>
        <w:tab/>
        <w:t>C</w:t>
      </w:r>
      <w:r w:rsidR="00AB70A9" w:rsidRPr="004B5ECF">
        <w:rPr>
          <w:rFonts w:ascii="Century" w:hAnsi="Century"/>
          <w:sz w:val="20"/>
          <w:szCs w:val="20"/>
        </w:rPr>
        <w:t xml:space="preserve">.     </w:t>
      </w:r>
      <w:r w:rsidR="00465516" w:rsidRPr="004B5ECF">
        <w:rPr>
          <w:rFonts w:ascii="Century" w:hAnsi="Century"/>
          <w:sz w:val="20"/>
          <w:szCs w:val="20"/>
        </w:rPr>
        <w:t>Concentration Indicators Shareholders' Equity</w:t>
      </w:r>
      <w:r w:rsidR="00FD6D90" w:rsidRPr="004B5ECF">
        <w:rPr>
          <w:rFonts w:ascii="Century" w:hAnsi="Century"/>
          <w:sz w:val="20"/>
          <w:szCs w:val="20"/>
        </w:rPr>
        <w:t xml:space="preserve">…………………………………………. </w:t>
      </w:r>
      <w:r w:rsidR="00465516" w:rsidRPr="004B5ECF">
        <w:rPr>
          <w:rFonts w:ascii="Century" w:hAnsi="Century"/>
          <w:sz w:val="20"/>
          <w:szCs w:val="20"/>
        </w:rPr>
        <w:t>1</w:t>
      </w:r>
      <w:r w:rsidR="0022566B">
        <w:rPr>
          <w:rFonts w:ascii="Century" w:hAnsi="Century"/>
          <w:sz w:val="20"/>
          <w:szCs w:val="20"/>
        </w:rPr>
        <w:t>1</w:t>
      </w:r>
    </w:p>
    <w:p w:rsidR="00936722" w:rsidRPr="004B5ECF" w:rsidRDefault="00936722" w:rsidP="00936722">
      <w:pPr>
        <w:pStyle w:val="T3"/>
        <w:rPr>
          <w:rFonts w:ascii="Century" w:hAnsi="Century"/>
          <w:noProof/>
          <w:lang w:val="tr-TR" w:eastAsia="tr-TR"/>
        </w:rPr>
      </w:pPr>
      <w:r w:rsidRPr="004B5ECF">
        <w:rPr>
          <w:rFonts w:ascii="Century" w:hAnsi="Century"/>
          <w:noProof/>
          <w:lang w:val="tr-TR"/>
        </w:rPr>
        <w:t xml:space="preserve">1.3.3. </w:t>
      </w:r>
      <w:r w:rsidRPr="004B5ECF">
        <w:rPr>
          <w:rFonts w:ascii="Century" w:hAnsi="Century"/>
          <w:lang w:val="tr-TR"/>
        </w:rPr>
        <w:t>Indicators of Private Pension Activities</w:t>
      </w:r>
      <w:r w:rsidRPr="004B5ECF">
        <w:rPr>
          <w:rFonts w:ascii="Century" w:hAnsi="Century"/>
          <w:noProof/>
        </w:rPr>
        <w:tab/>
      </w:r>
      <w:r w:rsidRPr="004B5ECF">
        <w:rPr>
          <w:rFonts w:ascii="Century" w:hAnsi="Century"/>
          <w:i w:val="0"/>
          <w:noProof/>
        </w:rPr>
        <w:t>1</w:t>
      </w:r>
      <w:r w:rsidR="0022566B">
        <w:rPr>
          <w:rFonts w:ascii="Century" w:hAnsi="Century"/>
          <w:i w:val="0"/>
          <w:noProof/>
        </w:rPr>
        <w:t>3</w:t>
      </w:r>
    </w:p>
    <w:p w:rsidR="00936722" w:rsidRPr="004B5ECF" w:rsidRDefault="00936722" w:rsidP="00936722">
      <w:pPr>
        <w:pStyle w:val="T2"/>
        <w:rPr>
          <w:noProof/>
          <w:lang w:eastAsia="tr-TR"/>
        </w:rPr>
      </w:pPr>
      <w:r w:rsidRPr="004B5ECF">
        <w:rPr>
          <w:noProof/>
        </w:rPr>
        <w:t>1.4.</w:t>
      </w:r>
      <w:r w:rsidRPr="004B5ECF">
        <w:rPr>
          <w:noProof/>
          <w:lang w:eastAsia="tr-TR"/>
        </w:rPr>
        <w:tab/>
      </w:r>
      <w:r w:rsidR="002940A5" w:rsidRPr="004B5ECF">
        <w:rPr>
          <w:noProof/>
          <w:lang w:eastAsia="tr-TR"/>
        </w:rPr>
        <w:t xml:space="preserve">  </w:t>
      </w:r>
      <w:r w:rsidRPr="004B5ECF">
        <w:t>Financial Statements of Insurance, Reins. and Private Pension Companies</w:t>
      </w:r>
      <w:r w:rsidRPr="004B5ECF">
        <w:rPr>
          <w:noProof/>
        </w:rPr>
        <w:tab/>
      </w:r>
      <w:r w:rsidR="00465516" w:rsidRPr="004B5ECF">
        <w:rPr>
          <w:noProof/>
        </w:rPr>
        <w:t>16</w:t>
      </w:r>
    </w:p>
    <w:p w:rsidR="00936722" w:rsidRPr="004B5ECF" w:rsidRDefault="00936722" w:rsidP="00936722">
      <w:pPr>
        <w:pStyle w:val="T3"/>
        <w:rPr>
          <w:rFonts w:ascii="Century" w:hAnsi="Century"/>
          <w:noProof/>
          <w:lang w:val="tr-TR" w:eastAsia="tr-TR"/>
        </w:rPr>
      </w:pPr>
      <w:r w:rsidRPr="004B5ECF">
        <w:rPr>
          <w:rFonts w:ascii="Century" w:hAnsi="Century"/>
          <w:noProof/>
          <w:lang w:val="tr-TR"/>
        </w:rPr>
        <w:t xml:space="preserve">1.4.1. </w:t>
      </w:r>
      <w:r w:rsidRPr="004B5ECF">
        <w:rPr>
          <w:rFonts w:ascii="Century" w:hAnsi="Century"/>
        </w:rPr>
        <w:t>Consolidated Balance Sheets of Insurance and Private Pension Sector</w:t>
      </w:r>
      <w:r w:rsidRPr="004B5ECF">
        <w:rPr>
          <w:rFonts w:ascii="Century" w:hAnsi="Century"/>
          <w:noProof/>
        </w:rPr>
        <w:tab/>
      </w:r>
      <w:r w:rsidRPr="004B5ECF">
        <w:rPr>
          <w:rFonts w:ascii="Century" w:hAnsi="Century"/>
          <w:i w:val="0"/>
          <w:noProof/>
        </w:rPr>
        <w:t>1</w:t>
      </w:r>
      <w:r w:rsidR="00465516" w:rsidRPr="004B5ECF">
        <w:rPr>
          <w:rFonts w:ascii="Century" w:hAnsi="Century"/>
          <w:i w:val="0"/>
          <w:noProof/>
        </w:rPr>
        <w:t>6</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A.</w:t>
      </w:r>
      <w:r w:rsidRPr="004B5ECF">
        <w:rPr>
          <w:rFonts w:ascii="Century" w:hAnsi="Century"/>
          <w:noProof/>
          <w:sz w:val="20"/>
          <w:szCs w:val="20"/>
          <w:lang w:val="tr-TR" w:eastAsia="tr-TR"/>
        </w:rPr>
        <w:tab/>
      </w:r>
      <w:r w:rsidRPr="004B5ECF">
        <w:rPr>
          <w:rFonts w:ascii="Century" w:hAnsi="Century"/>
          <w:sz w:val="20"/>
          <w:szCs w:val="20"/>
        </w:rPr>
        <w:t>Assets</w:t>
      </w:r>
      <w:r w:rsidRPr="004B5ECF">
        <w:rPr>
          <w:rFonts w:ascii="Century" w:hAnsi="Century"/>
          <w:noProof/>
          <w:sz w:val="20"/>
          <w:szCs w:val="20"/>
        </w:rPr>
        <w:tab/>
      </w:r>
      <w:r w:rsidR="00465516" w:rsidRPr="004B5ECF">
        <w:rPr>
          <w:rFonts w:ascii="Century" w:hAnsi="Century"/>
          <w:noProof/>
          <w:sz w:val="20"/>
          <w:szCs w:val="20"/>
        </w:rPr>
        <w:t>20</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B.</w:t>
      </w:r>
      <w:r w:rsidRPr="004B5ECF">
        <w:rPr>
          <w:rFonts w:ascii="Century" w:hAnsi="Century"/>
          <w:noProof/>
          <w:sz w:val="20"/>
          <w:szCs w:val="20"/>
          <w:lang w:val="tr-TR" w:eastAsia="tr-TR"/>
        </w:rPr>
        <w:tab/>
      </w:r>
      <w:r w:rsidRPr="004B5ECF">
        <w:rPr>
          <w:rFonts w:ascii="Century" w:hAnsi="Century"/>
          <w:sz w:val="20"/>
          <w:szCs w:val="20"/>
          <w:lang w:val="tr-TR"/>
        </w:rPr>
        <w:t>Liabilities&amp;Shareholders’ Equity</w:t>
      </w:r>
      <w:r w:rsidRPr="004B5ECF">
        <w:rPr>
          <w:rFonts w:ascii="Century" w:hAnsi="Century"/>
          <w:noProof/>
          <w:sz w:val="20"/>
          <w:szCs w:val="20"/>
        </w:rPr>
        <w:tab/>
      </w:r>
      <w:r w:rsidR="00465516" w:rsidRPr="004B5ECF">
        <w:rPr>
          <w:rFonts w:ascii="Century" w:hAnsi="Century"/>
          <w:noProof/>
          <w:sz w:val="20"/>
          <w:szCs w:val="20"/>
        </w:rPr>
        <w:t>22</w:t>
      </w:r>
    </w:p>
    <w:p w:rsidR="00936722" w:rsidRPr="004B5ECF" w:rsidRDefault="00936722" w:rsidP="00936722">
      <w:pPr>
        <w:pStyle w:val="T3"/>
        <w:rPr>
          <w:rFonts w:ascii="Century" w:hAnsi="Century"/>
          <w:i w:val="0"/>
          <w:noProof/>
          <w:lang w:val="tr-TR" w:eastAsia="tr-TR"/>
        </w:rPr>
      </w:pPr>
      <w:r w:rsidRPr="004B5ECF">
        <w:rPr>
          <w:rFonts w:ascii="Century" w:hAnsi="Century"/>
          <w:noProof/>
          <w:lang w:val="tr-TR"/>
        </w:rPr>
        <w:t xml:space="preserve">1.4.2. </w:t>
      </w:r>
      <w:r w:rsidRPr="004B5ECF">
        <w:rPr>
          <w:rFonts w:ascii="Century" w:hAnsi="Century"/>
        </w:rPr>
        <w:t>Consolidated Income Statement of  Insurance and Private Pension Sector</w:t>
      </w:r>
      <w:r w:rsidRPr="004B5ECF">
        <w:rPr>
          <w:rFonts w:ascii="Century" w:hAnsi="Century"/>
          <w:noProof/>
        </w:rPr>
        <w:tab/>
      </w:r>
      <w:r w:rsidR="00465516" w:rsidRPr="004B5ECF">
        <w:rPr>
          <w:rFonts w:ascii="Century" w:hAnsi="Century"/>
          <w:i w:val="0"/>
          <w:noProof/>
        </w:rPr>
        <w:t>24</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A.</w:t>
      </w:r>
      <w:r w:rsidRPr="004B5ECF">
        <w:rPr>
          <w:rFonts w:ascii="Century" w:hAnsi="Century"/>
          <w:noProof/>
          <w:sz w:val="20"/>
          <w:szCs w:val="20"/>
          <w:lang w:val="tr-TR" w:eastAsia="tr-TR"/>
        </w:rPr>
        <w:tab/>
      </w:r>
      <w:r w:rsidRPr="004B5ECF">
        <w:rPr>
          <w:rFonts w:ascii="Century" w:hAnsi="Century"/>
          <w:sz w:val="20"/>
          <w:szCs w:val="20"/>
        </w:rPr>
        <w:t>Income and Expenditure Accounts</w:t>
      </w:r>
      <w:r w:rsidRPr="004B5ECF">
        <w:rPr>
          <w:rFonts w:ascii="Century" w:hAnsi="Century"/>
          <w:noProof/>
          <w:sz w:val="20"/>
          <w:szCs w:val="20"/>
        </w:rPr>
        <w:tab/>
      </w:r>
      <w:r w:rsidR="00465516" w:rsidRPr="004B5ECF">
        <w:rPr>
          <w:rFonts w:ascii="Century" w:hAnsi="Century"/>
          <w:noProof/>
          <w:sz w:val="20"/>
          <w:szCs w:val="20"/>
        </w:rPr>
        <w:t>24</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B.</w:t>
      </w:r>
      <w:r w:rsidRPr="004B5ECF">
        <w:rPr>
          <w:rFonts w:ascii="Century" w:hAnsi="Century"/>
          <w:noProof/>
          <w:sz w:val="20"/>
          <w:szCs w:val="20"/>
          <w:lang w:val="tr-TR" w:eastAsia="tr-TR"/>
        </w:rPr>
        <w:tab/>
      </w:r>
      <w:r w:rsidRPr="004B5ECF">
        <w:rPr>
          <w:rFonts w:ascii="Century" w:hAnsi="Century"/>
          <w:sz w:val="20"/>
          <w:szCs w:val="20"/>
        </w:rPr>
        <w:t>Premium Volume and Paid Losses</w:t>
      </w:r>
      <w:r w:rsidRPr="004B5ECF">
        <w:rPr>
          <w:rFonts w:ascii="Century" w:hAnsi="Century"/>
          <w:noProof/>
          <w:sz w:val="20"/>
          <w:szCs w:val="20"/>
        </w:rPr>
        <w:tab/>
      </w:r>
      <w:r w:rsidR="00465516" w:rsidRPr="004B5ECF">
        <w:rPr>
          <w:rFonts w:ascii="Century" w:hAnsi="Century"/>
          <w:noProof/>
          <w:sz w:val="20"/>
          <w:szCs w:val="20"/>
        </w:rPr>
        <w:t>25</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C.</w:t>
      </w:r>
      <w:r w:rsidRPr="004B5ECF">
        <w:rPr>
          <w:rFonts w:ascii="Century" w:hAnsi="Century"/>
          <w:noProof/>
          <w:sz w:val="20"/>
          <w:szCs w:val="20"/>
          <w:lang w:val="tr-TR" w:eastAsia="tr-TR"/>
        </w:rPr>
        <w:tab/>
      </w:r>
      <w:r w:rsidRPr="004B5ECF">
        <w:rPr>
          <w:rFonts w:ascii="Century" w:hAnsi="Century"/>
          <w:sz w:val="20"/>
          <w:szCs w:val="20"/>
        </w:rPr>
        <w:t>The Channels of Collecting Premium</w:t>
      </w:r>
      <w:r w:rsidRPr="004B5ECF">
        <w:rPr>
          <w:rFonts w:ascii="Century" w:hAnsi="Century"/>
          <w:noProof/>
          <w:sz w:val="20"/>
          <w:szCs w:val="20"/>
        </w:rPr>
        <w:tab/>
      </w:r>
      <w:r w:rsidR="00465516" w:rsidRPr="004B5ECF">
        <w:rPr>
          <w:rFonts w:ascii="Century" w:hAnsi="Century"/>
          <w:noProof/>
          <w:sz w:val="20"/>
          <w:szCs w:val="20"/>
        </w:rPr>
        <w:t>26</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D.</w:t>
      </w:r>
      <w:r w:rsidRPr="004B5ECF">
        <w:rPr>
          <w:rFonts w:ascii="Century" w:hAnsi="Century"/>
          <w:noProof/>
          <w:sz w:val="20"/>
          <w:szCs w:val="20"/>
          <w:lang w:val="tr-TR" w:eastAsia="tr-TR"/>
        </w:rPr>
        <w:tab/>
      </w:r>
      <w:r w:rsidRPr="004B5ECF">
        <w:rPr>
          <w:rFonts w:ascii="Century" w:hAnsi="Century"/>
          <w:sz w:val="20"/>
          <w:szCs w:val="20"/>
        </w:rPr>
        <w:t>Technical Indicators</w:t>
      </w:r>
      <w:r w:rsidRPr="004B5ECF">
        <w:rPr>
          <w:rFonts w:ascii="Century" w:hAnsi="Century"/>
          <w:noProof/>
          <w:sz w:val="20"/>
          <w:szCs w:val="20"/>
        </w:rPr>
        <w:tab/>
      </w:r>
      <w:r w:rsidR="00465516" w:rsidRPr="004B5ECF">
        <w:rPr>
          <w:rFonts w:ascii="Century" w:hAnsi="Century"/>
          <w:noProof/>
          <w:sz w:val="20"/>
          <w:szCs w:val="20"/>
        </w:rPr>
        <w:t>27</w:t>
      </w:r>
    </w:p>
    <w:p w:rsidR="00936722" w:rsidRPr="004B5ECF" w:rsidRDefault="00936722" w:rsidP="00936722">
      <w:pPr>
        <w:pStyle w:val="T4"/>
        <w:tabs>
          <w:tab w:val="clear" w:pos="9000"/>
          <w:tab w:val="left" w:pos="1200"/>
          <w:tab w:val="right" w:leader="dot" w:pos="9016"/>
        </w:tabs>
        <w:rPr>
          <w:rFonts w:ascii="Century" w:hAnsi="Century"/>
          <w:noProof/>
          <w:sz w:val="20"/>
          <w:szCs w:val="20"/>
          <w:lang w:val="tr-TR" w:eastAsia="tr-TR"/>
        </w:rPr>
      </w:pPr>
      <w:r w:rsidRPr="004B5ECF">
        <w:rPr>
          <w:rFonts w:ascii="Century" w:hAnsi="Century"/>
          <w:noProof/>
          <w:sz w:val="20"/>
          <w:szCs w:val="20"/>
          <w:lang w:val="tr-TR"/>
        </w:rPr>
        <w:t>E.</w:t>
      </w:r>
      <w:r w:rsidRPr="004B5ECF">
        <w:rPr>
          <w:rFonts w:ascii="Century" w:hAnsi="Century"/>
          <w:noProof/>
          <w:sz w:val="20"/>
          <w:szCs w:val="20"/>
          <w:lang w:val="tr-TR" w:eastAsia="tr-TR"/>
        </w:rPr>
        <w:tab/>
      </w:r>
      <w:r w:rsidRPr="004B5ECF">
        <w:rPr>
          <w:rFonts w:ascii="Century" w:hAnsi="Century"/>
          <w:sz w:val="20"/>
          <w:szCs w:val="20"/>
        </w:rPr>
        <w:t>Life Branch Activities</w:t>
      </w:r>
      <w:r w:rsidRPr="004B5ECF">
        <w:rPr>
          <w:rFonts w:ascii="Century" w:hAnsi="Century"/>
          <w:noProof/>
          <w:sz w:val="20"/>
          <w:szCs w:val="20"/>
        </w:rPr>
        <w:tab/>
      </w:r>
      <w:r w:rsidR="00465516" w:rsidRPr="004B5ECF">
        <w:rPr>
          <w:rFonts w:ascii="Century" w:hAnsi="Century"/>
          <w:noProof/>
          <w:sz w:val="20"/>
          <w:szCs w:val="20"/>
        </w:rPr>
        <w:t>28</w:t>
      </w:r>
    </w:p>
    <w:p w:rsidR="00936722" w:rsidRPr="004B5ECF" w:rsidRDefault="00936722" w:rsidP="00936722">
      <w:pPr>
        <w:pStyle w:val="T2"/>
        <w:rPr>
          <w:noProof/>
          <w:lang w:eastAsia="tr-TR"/>
        </w:rPr>
      </w:pPr>
      <w:r w:rsidRPr="004B5ECF">
        <w:rPr>
          <w:noProof/>
        </w:rPr>
        <w:t xml:space="preserve">1.5.         </w:t>
      </w:r>
      <w:r w:rsidR="002940A5" w:rsidRPr="004B5ECF">
        <w:rPr>
          <w:noProof/>
        </w:rPr>
        <w:t xml:space="preserve">       </w:t>
      </w:r>
      <w:r w:rsidRPr="004B5ECF">
        <w:t>Insurance Branches</w:t>
      </w:r>
      <w:r w:rsidRPr="004B5ECF">
        <w:rPr>
          <w:noProof/>
        </w:rPr>
        <w:tab/>
      </w:r>
      <w:r w:rsidR="00465516" w:rsidRPr="004B5ECF">
        <w:rPr>
          <w:noProof/>
        </w:rPr>
        <w:t>29</w:t>
      </w:r>
    </w:p>
    <w:p w:rsidR="00936722" w:rsidRPr="004B5ECF" w:rsidRDefault="00936722" w:rsidP="00936722">
      <w:pPr>
        <w:pStyle w:val="T3"/>
        <w:rPr>
          <w:rFonts w:ascii="Century" w:hAnsi="Century"/>
          <w:i w:val="0"/>
          <w:noProof/>
          <w:lang w:val="tr-TR" w:eastAsia="tr-TR"/>
        </w:rPr>
      </w:pPr>
      <w:r w:rsidRPr="004B5ECF">
        <w:rPr>
          <w:rFonts w:ascii="Century" w:hAnsi="Century"/>
          <w:noProof/>
          <w:lang w:val="tr-TR"/>
        </w:rPr>
        <w:t xml:space="preserve">1.5.1. </w:t>
      </w:r>
      <w:r w:rsidRPr="004B5ECF">
        <w:rPr>
          <w:rFonts w:ascii="Century" w:hAnsi="Century"/>
        </w:rPr>
        <w:t>Structural Indicators of Insurance Branches</w:t>
      </w:r>
      <w:r w:rsidRPr="004B5ECF">
        <w:rPr>
          <w:rFonts w:ascii="Century" w:hAnsi="Century"/>
          <w:noProof/>
        </w:rPr>
        <w:tab/>
      </w:r>
      <w:r w:rsidRPr="004B5ECF">
        <w:rPr>
          <w:rFonts w:ascii="Century" w:hAnsi="Century"/>
          <w:i w:val="0"/>
          <w:noProof/>
        </w:rPr>
        <w:t>2</w:t>
      </w:r>
      <w:r w:rsidR="00465516" w:rsidRPr="004B5ECF">
        <w:rPr>
          <w:rFonts w:ascii="Century" w:hAnsi="Century"/>
          <w:i w:val="0"/>
          <w:noProof/>
        </w:rPr>
        <w:t>9</w:t>
      </w:r>
    </w:p>
    <w:p w:rsidR="00936722" w:rsidRPr="004B5ECF" w:rsidRDefault="00936722" w:rsidP="00936722">
      <w:pPr>
        <w:pStyle w:val="T3"/>
        <w:rPr>
          <w:rFonts w:ascii="Century" w:hAnsi="Century"/>
          <w:i w:val="0"/>
          <w:noProof/>
          <w:lang w:val="tr-TR" w:eastAsia="tr-TR"/>
        </w:rPr>
      </w:pPr>
      <w:r w:rsidRPr="004B5ECF">
        <w:rPr>
          <w:rFonts w:ascii="Century" w:hAnsi="Century"/>
          <w:noProof/>
          <w:lang w:val="tr-TR"/>
        </w:rPr>
        <w:t xml:space="preserve">1.5.2. </w:t>
      </w:r>
      <w:r w:rsidRPr="004B5ECF">
        <w:rPr>
          <w:rFonts w:ascii="Century" w:hAnsi="Century"/>
        </w:rPr>
        <w:t>Trends of Premiums and Paid Losses per Branches</w:t>
      </w:r>
      <w:r w:rsidRPr="004B5ECF">
        <w:rPr>
          <w:rFonts w:ascii="Century" w:hAnsi="Century"/>
          <w:noProof/>
        </w:rPr>
        <w:tab/>
      </w:r>
      <w:r w:rsidR="00465516" w:rsidRPr="004B5ECF">
        <w:rPr>
          <w:rFonts w:ascii="Century" w:hAnsi="Century"/>
          <w:i w:val="0"/>
          <w:noProof/>
        </w:rPr>
        <w:t>31</w:t>
      </w:r>
    </w:p>
    <w:p w:rsidR="00936722" w:rsidRPr="004B5ECF" w:rsidRDefault="00936722" w:rsidP="00936722">
      <w:pPr>
        <w:pStyle w:val="T3"/>
        <w:rPr>
          <w:rFonts w:ascii="Century" w:hAnsi="Century"/>
          <w:i w:val="0"/>
          <w:noProof/>
          <w:lang w:val="tr-TR" w:eastAsia="tr-TR"/>
        </w:rPr>
      </w:pPr>
      <w:r w:rsidRPr="004B5ECF">
        <w:rPr>
          <w:rFonts w:ascii="Century" w:hAnsi="Century"/>
          <w:noProof/>
          <w:lang w:val="tr-TR"/>
        </w:rPr>
        <w:t xml:space="preserve">1.5.3. </w:t>
      </w:r>
      <w:r w:rsidRPr="004B5ECF">
        <w:rPr>
          <w:rFonts w:ascii="Century" w:hAnsi="Century"/>
        </w:rPr>
        <w:t>Evaluation of Branches for 2006</w:t>
      </w:r>
      <w:r w:rsidRPr="004B5ECF">
        <w:rPr>
          <w:rFonts w:ascii="Century" w:hAnsi="Century"/>
          <w:noProof/>
        </w:rPr>
        <w:tab/>
      </w:r>
      <w:r w:rsidRPr="004B5ECF">
        <w:rPr>
          <w:rFonts w:ascii="Century" w:hAnsi="Century"/>
          <w:i w:val="0"/>
          <w:noProof/>
        </w:rPr>
        <w:t>3</w:t>
      </w:r>
      <w:r w:rsidR="00465516" w:rsidRPr="004B5ECF">
        <w:rPr>
          <w:rFonts w:ascii="Century" w:hAnsi="Century"/>
          <w:i w:val="0"/>
          <w:noProof/>
        </w:rPr>
        <w:t>3</w:t>
      </w:r>
    </w:p>
    <w:p w:rsidR="00936722" w:rsidRPr="004B5ECF" w:rsidRDefault="00936722" w:rsidP="00936722">
      <w:pPr>
        <w:pStyle w:val="T1"/>
        <w:rPr>
          <w:lang w:eastAsia="tr-TR"/>
        </w:rPr>
      </w:pPr>
      <w:r w:rsidRPr="004B5ECF">
        <w:t>2.</w:t>
      </w:r>
      <w:r w:rsidRPr="004B5ECF">
        <w:rPr>
          <w:lang w:eastAsia="tr-TR"/>
        </w:rPr>
        <w:tab/>
      </w:r>
      <w:r w:rsidRPr="004B5ECF">
        <w:t>OTHER    INSTITUTIONS    In   INSURANCE  SECTOR</w:t>
      </w:r>
      <w:r w:rsidRPr="004B5ECF">
        <w:tab/>
      </w:r>
      <w:r w:rsidR="00465516" w:rsidRPr="004B5ECF">
        <w:t>35</w:t>
      </w:r>
    </w:p>
    <w:p w:rsidR="00936722" w:rsidRPr="004B5ECF" w:rsidRDefault="00936722" w:rsidP="00936722">
      <w:pPr>
        <w:pStyle w:val="T2"/>
        <w:rPr>
          <w:noProof/>
          <w:lang w:eastAsia="tr-TR"/>
        </w:rPr>
      </w:pPr>
      <w:r w:rsidRPr="004B5ECF">
        <w:rPr>
          <w:noProof/>
        </w:rPr>
        <w:t>2.1.</w:t>
      </w:r>
      <w:r w:rsidRPr="004B5ECF">
        <w:rPr>
          <w:noProof/>
          <w:lang w:eastAsia="tr-TR"/>
        </w:rPr>
        <w:tab/>
      </w:r>
      <w:r w:rsidR="00AB70A9" w:rsidRPr="004B5ECF">
        <w:rPr>
          <w:noProof/>
          <w:lang w:eastAsia="tr-TR"/>
        </w:rPr>
        <w:t xml:space="preserve"> </w:t>
      </w:r>
      <w:r w:rsidR="00554C09">
        <w:rPr>
          <w:noProof/>
          <w:lang w:eastAsia="tr-TR"/>
        </w:rPr>
        <w:t>Turkısh Catastrophe Insurance Pool</w:t>
      </w:r>
      <w:r w:rsidRPr="004B5ECF">
        <w:t xml:space="preserve"> (TCIP)</w:t>
      </w:r>
      <w:r w:rsidRPr="004B5ECF">
        <w:rPr>
          <w:noProof/>
        </w:rPr>
        <w:tab/>
      </w:r>
      <w:r w:rsidR="00465516" w:rsidRPr="004B5ECF">
        <w:rPr>
          <w:noProof/>
        </w:rPr>
        <w:t>35</w:t>
      </w:r>
    </w:p>
    <w:p w:rsidR="00936722" w:rsidRPr="004B5ECF" w:rsidRDefault="00936722" w:rsidP="00936722">
      <w:pPr>
        <w:pStyle w:val="T2"/>
        <w:rPr>
          <w:noProof/>
          <w:lang w:eastAsia="tr-TR"/>
        </w:rPr>
      </w:pPr>
      <w:r w:rsidRPr="004B5ECF">
        <w:rPr>
          <w:noProof/>
        </w:rPr>
        <w:t xml:space="preserve">2.2.         </w:t>
      </w:r>
      <w:r w:rsidR="002940A5" w:rsidRPr="004B5ECF">
        <w:rPr>
          <w:noProof/>
        </w:rPr>
        <w:t xml:space="preserve">     </w:t>
      </w:r>
      <w:r w:rsidRPr="004B5ECF">
        <w:rPr>
          <w:noProof/>
        </w:rPr>
        <w:t xml:space="preserve"> </w:t>
      </w:r>
      <w:r w:rsidR="00554C09">
        <w:t>Pensıon Monıtorı</w:t>
      </w:r>
      <w:r w:rsidRPr="004B5ECF">
        <w:t>ng Center (EGM)</w:t>
      </w:r>
      <w:r w:rsidRPr="004B5ECF">
        <w:rPr>
          <w:noProof/>
        </w:rPr>
        <w:tab/>
      </w:r>
      <w:r w:rsidR="00465516" w:rsidRPr="004B5ECF">
        <w:rPr>
          <w:noProof/>
        </w:rPr>
        <w:t>38</w:t>
      </w:r>
    </w:p>
    <w:p w:rsidR="00936722" w:rsidRPr="004B5ECF" w:rsidRDefault="00936722" w:rsidP="00936722">
      <w:pPr>
        <w:pStyle w:val="T2"/>
        <w:rPr>
          <w:noProof/>
          <w:lang w:eastAsia="tr-TR"/>
        </w:rPr>
      </w:pPr>
      <w:r w:rsidRPr="004B5ECF">
        <w:rPr>
          <w:noProof/>
        </w:rPr>
        <w:t xml:space="preserve">2.3.          </w:t>
      </w:r>
      <w:r w:rsidR="002940A5" w:rsidRPr="004B5ECF">
        <w:rPr>
          <w:noProof/>
        </w:rPr>
        <w:t xml:space="preserve">     </w:t>
      </w:r>
      <w:r w:rsidRPr="004B5ECF">
        <w:t xml:space="preserve">Motor TPL </w:t>
      </w:r>
      <w:r w:rsidR="00554C09">
        <w:t>Insurance Informatı</w:t>
      </w:r>
      <w:r w:rsidRPr="004B5ECF">
        <w:t>on Center (TRAMER)</w:t>
      </w:r>
      <w:r w:rsidRPr="004B5ECF">
        <w:rPr>
          <w:noProof/>
        </w:rPr>
        <w:tab/>
      </w:r>
      <w:r w:rsidR="00465516" w:rsidRPr="004B5ECF">
        <w:rPr>
          <w:noProof/>
        </w:rPr>
        <w:t>41</w:t>
      </w:r>
    </w:p>
    <w:p w:rsidR="00936722" w:rsidRPr="004B5ECF" w:rsidRDefault="00936722" w:rsidP="00936722">
      <w:pPr>
        <w:pStyle w:val="T2"/>
        <w:rPr>
          <w:noProof/>
          <w:lang w:eastAsia="tr-TR"/>
        </w:rPr>
      </w:pPr>
      <w:r w:rsidRPr="004B5ECF">
        <w:rPr>
          <w:noProof/>
        </w:rPr>
        <w:t>2.4.</w:t>
      </w:r>
      <w:r w:rsidRPr="004B5ECF">
        <w:rPr>
          <w:noProof/>
          <w:lang w:eastAsia="tr-TR"/>
        </w:rPr>
        <w:tab/>
      </w:r>
      <w:r w:rsidR="00AB70A9" w:rsidRPr="004B5ECF">
        <w:rPr>
          <w:noProof/>
          <w:lang w:eastAsia="tr-TR"/>
        </w:rPr>
        <w:t xml:space="preserve"> </w:t>
      </w:r>
      <w:r w:rsidRPr="004B5ECF">
        <w:t>Traff</w:t>
      </w:r>
      <w:r w:rsidR="00554C09">
        <w:t>ı</w:t>
      </w:r>
      <w:r w:rsidRPr="004B5ECF">
        <w:t>c Guarantee Insurance Account</w:t>
      </w:r>
      <w:r w:rsidRPr="004B5ECF">
        <w:rPr>
          <w:noProof/>
        </w:rPr>
        <w:tab/>
      </w:r>
      <w:r w:rsidR="00465516" w:rsidRPr="004B5ECF">
        <w:rPr>
          <w:noProof/>
        </w:rPr>
        <w:t>42</w:t>
      </w:r>
    </w:p>
    <w:p w:rsidR="00936722" w:rsidRPr="004B5ECF" w:rsidRDefault="00936722" w:rsidP="00936722">
      <w:pPr>
        <w:pStyle w:val="T2"/>
        <w:rPr>
          <w:noProof/>
          <w:lang w:eastAsia="tr-TR"/>
        </w:rPr>
      </w:pPr>
      <w:r w:rsidRPr="004B5ECF">
        <w:rPr>
          <w:noProof/>
        </w:rPr>
        <w:t>2.5.</w:t>
      </w:r>
      <w:r w:rsidRPr="004B5ECF">
        <w:rPr>
          <w:noProof/>
          <w:lang w:eastAsia="tr-TR"/>
        </w:rPr>
        <w:tab/>
      </w:r>
      <w:r w:rsidR="00AB70A9" w:rsidRPr="004B5ECF">
        <w:rPr>
          <w:noProof/>
          <w:lang w:eastAsia="tr-TR"/>
        </w:rPr>
        <w:t xml:space="preserve"> </w:t>
      </w:r>
      <w:r w:rsidR="00554C09">
        <w:t>Turkı</w:t>
      </w:r>
      <w:r w:rsidRPr="004B5ECF">
        <w:t>sh Motor Insurance Bureau</w:t>
      </w:r>
      <w:r w:rsidRPr="004B5ECF">
        <w:rPr>
          <w:noProof/>
        </w:rPr>
        <w:tab/>
      </w:r>
      <w:r w:rsidR="00465516" w:rsidRPr="004B5ECF">
        <w:rPr>
          <w:noProof/>
        </w:rPr>
        <w:t>45</w:t>
      </w:r>
    </w:p>
    <w:p w:rsidR="00936722" w:rsidRPr="004B5ECF" w:rsidRDefault="00936722" w:rsidP="00936722">
      <w:pPr>
        <w:pStyle w:val="T2"/>
        <w:rPr>
          <w:noProof/>
          <w:lang w:eastAsia="tr-TR"/>
        </w:rPr>
      </w:pPr>
      <w:r w:rsidRPr="004B5ECF">
        <w:rPr>
          <w:noProof/>
        </w:rPr>
        <w:t xml:space="preserve">2.6.          </w:t>
      </w:r>
      <w:r w:rsidR="002940A5" w:rsidRPr="004B5ECF">
        <w:rPr>
          <w:noProof/>
        </w:rPr>
        <w:t xml:space="preserve">     </w:t>
      </w:r>
      <w:r w:rsidRPr="004B5ECF">
        <w:t>Agr</w:t>
      </w:r>
      <w:r w:rsidR="00554C09">
        <w:t>ı</w:t>
      </w:r>
      <w:r w:rsidRPr="004B5ECF">
        <w:t>cultural Insurance Pool (TARSIM)</w:t>
      </w:r>
      <w:r w:rsidRPr="004B5ECF">
        <w:rPr>
          <w:noProof/>
        </w:rPr>
        <w:tab/>
      </w:r>
      <w:r w:rsidR="00465516" w:rsidRPr="004B5ECF">
        <w:rPr>
          <w:noProof/>
        </w:rPr>
        <w:t>46</w:t>
      </w:r>
    </w:p>
    <w:p w:rsidR="00936722" w:rsidRPr="004B5ECF" w:rsidRDefault="00936722" w:rsidP="00936722">
      <w:pPr>
        <w:pStyle w:val="T1"/>
        <w:rPr>
          <w:lang w:eastAsia="tr-TR"/>
        </w:rPr>
      </w:pPr>
      <w:r w:rsidRPr="004B5ECF">
        <w:t>3.</w:t>
      </w:r>
      <w:r w:rsidRPr="004B5ECF">
        <w:rPr>
          <w:lang w:eastAsia="tr-TR"/>
        </w:rPr>
        <w:tab/>
      </w:r>
      <w:r w:rsidRPr="004B5ECF">
        <w:t>CHANGES MADE IN THE LEGISLATION I</w:t>
      </w:r>
      <w:r w:rsidR="00465516" w:rsidRPr="004B5ECF">
        <w:t>n 2007</w:t>
      </w:r>
      <w:r w:rsidRPr="004B5ECF">
        <w:tab/>
      </w:r>
      <w:r w:rsidR="00465516" w:rsidRPr="004B5ECF">
        <w:t>5</w:t>
      </w:r>
      <w:r w:rsidR="00AB70A9" w:rsidRPr="004B5ECF">
        <w:t>3</w:t>
      </w:r>
    </w:p>
    <w:p w:rsidR="00554C09" w:rsidRPr="00554C09" w:rsidRDefault="00936722" w:rsidP="00554C09">
      <w:pPr>
        <w:pStyle w:val="T2"/>
        <w:rPr>
          <w:noProof/>
        </w:rPr>
      </w:pPr>
      <w:r w:rsidRPr="004B5ECF">
        <w:rPr>
          <w:noProof/>
        </w:rPr>
        <w:t>3.1.</w:t>
      </w:r>
      <w:r w:rsidRPr="004B5ECF">
        <w:rPr>
          <w:noProof/>
          <w:lang w:eastAsia="tr-TR"/>
        </w:rPr>
        <w:tab/>
      </w:r>
      <w:r w:rsidRPr="004B5ECF">
        <w:t xml:space="preserve">Arrangements Made by The </w:t>
      </w:r>
      <w:r w:rsidR="00AB70A9" w:rsidRPr="004B5ECF">
        <w:t>law</w:t>
      </w:r>
      <w:r w:rsidRPr="004B5ECF">
        <w:rPr>
          <w:noProof/>
        </w:rPr>
        <w:tab/>
      </w:r>
      <w:r w:rsidR="00465516" w:rsidRPr="004B5ECF">
        <w:rPr>
          <w:noProof/>
        </w:rPr>
        <w:t>5</w:t>
      </w:r>
      <w:r w:rsidR="00AB70A9" w:rsidRPr="004B5ECF">
        <w:rPr>
          <w:noProof/>
        </w:rPr>
        <w:t>3</w:t>
      </w:r>
    </w:p>
    <w:p w:rsidR="00AB70A9" w:rsidRPr="004B5ECF" w:rsidRDefault="00AB70A9" w:rsidP="00BD12DD">
      <w:pPr>
        <w:pStyle w:val="T2"/>
      </w:pPr>
      <w:r w:rsidRPr="004B5ECF">
        <w:t>3</w:t>
      </w:r>
      <w:r w:rsidR="00BD12DD" w:rsidRPr="004B5ECF">
        <w:t>.2.</w:t>
      </w:r>
      <w:r w:rsidR="00BD12DD" w:rsidRPr="004B5ECF">
        <w:tab/>
      </w:r>
      <w:r w:rsidR="00554C09">
        <w:t>Arrangements made by the regulatıons</w:t>
      </w:r>
      <w:r w:rsidR="00500C22" w:rsidRPr="004B5ECF">
        <w:tab/>
      </w:r>
      <w:r w:rsidR="00BD12DD" w:rsidRPr="004B5ECF">
        <w:t xml:space="preserve">     </w:t>
      </w:r>
      <w:r w:rsidRPr="004B5ECF">
        <w:t>54</w:t>
      </w:r>
    </w:p>
    <w:p w:rsidR="00936722" w:rsidRPr="004B5ECF" w:rsidRDefault="00936722" w:rsidP="00936722">
      <w:pPr>
        <w:pStyle w:val="T2"/>
        <w:rPr>
          <w:b/>
          <w:noProof/>
          <w:lang w:eastAsia="tr-TR"/>
        </w:rPr>
      </w:pPr>
      <w:r w:rsidRPr="004B5ECF">
        <w:rPr>
          <w:noProof/>
        </w:rPr>
        <w:t>3.2.</w:t>
      </w:r>
      <w:r w:rsidRPr="004B5ECF">
        <w:rPr>
          <w:noProof/>
          <w:lang w:eastAsia="tr-TR"/>
        </w:rPr>
        <w:tab/>
      </w:r>
      <w:r w:rsidRPr="004B5ECF">
        <w:t>Commun</w:t>
      </w:r>
      <w:r w:rsidR="00554C09">
        <w:t>ı</w:t>
      </w:r>
      <w:r w:rsidRPr="004B5ECF">
        <w:t>ques an</w:t>
      </w:r>
      <w:r w:rsidR="00554C09">
        <w:t>d Arbı</w:t>
      </w:r>
      <w:r w:rsidRPr="004B5ECF">
        <w:t>traments</w:t>
      </w:r>
      <w:r w:rsidRPr="004B5ECF">
        <w:rPr>
          <w:noProof/>
        </w:rPr>
        <w:tab/>
      </w:r>
      <w:r w:rsidR="00465516" w:rsidRPr="004B5ECF">
        <w:rPr>
          <w:noProof/>
        </w:rPr>
        <w:t>5</w:t>
      </w:r>
      <w:r w:rsidR="00AB70A9" w:rsidRPr="004B5ECF">
        <w:rPr>
          <w:noProof/>
        </w:rPr>
        <w:t>5</w:t>
      </w:r>
    </w:p>
    <w:p w:rsidR="00B2605C" w:rsidRPr="00BD12DD" w:rsidRDefault="00936722" w:rsidP="00936722">
      <w:pPr>
        <w:jc w:val="both"/>
        <w:rPr>
          <w:rFonts w:ascii="Century" w:hAnsi="Century"/>
          <w:sz w:val="20"/>
          <w:szCs w:val="20"/>
          <w:highlight w:val="yellow"/>
          <w:lang w:val="tr-TR"/>
        </w:rPr>
      </w:pPr>
      <w:r w:rsidRPr="004B5ECF">
        <w:rPr>
          <w:rFonts w:ascii="Century" w:hAnsi="Century"/>
          <w:sz w:val="20"/>
          <w:szCs w:val="20"/>
          <w:lang w:val="tr-TR"/>
        </w:rPr>
        <w:fldChar w:fldCharType="end"/>
      </w:r>
    </w:p>
    <w:p w:rsidR="000B3500" w:rsidRPr="00367FA3" w:rsidRDefault="000B3500" w:rsidP="008D17FE">
      <w:pPr>
        <w:jc w:val="both"/>
        <w:rPr>
          <w:rFonts w:ascii="Century" w:hAnsi="Century"/>
          <w:highlight w:val="yellow"/>
          <w:lang w:val="tr-TR"/>
        </w:rPr>
      </w:pPr>
    </w:p>
    <w:p w:rsidR="000B3500" w:rsidRPr="00367FA3" w:rsidRDefault="000B3500" w:rsidP="008D17FE">
      <w:pPr>
        <w:jc w:val="both"/>
        <w:rPr>
          <w:rFonts w:ascii="Century" w:hAnsi="Century"/>
          <w:highlight w:val="yellow"/>
          <w:lang w:val="tr-TR"/>
        </w:rPr>
      </w:pPr>
    </w:p>
    <w:p w:rsidR="005D21D5" w:rsidRDefault="005D21D5"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Default="008D46AE" w:rsidP="008D17FE">
      <w:pPr>
        <w:jc w:val="both"/>
        <w:rPr>
          <w:highlight w:val="yellow"/>
        </w:rPr>
      </w:pPr>
    </w:p>
    <w:p w:rsidR="008D46AE" w:rsidRPr="008D46AE" w:rsidRDefault="008D46AE" w:rsidP="008D17FE">
      <w:pPr>
        <w:jc w:val="both"/>
        <w:rPr>
          <w:highlight w:val="yellow"/>
        </w:rPr>
      </w:pPr>
      <w:r w:rsidRPr="008D46AE">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662.25pt">
            <v:imagedata r:id="rId14" o:title=""/>
          </v:shape>
        </w:pict>
      </w:r>
    </w:p>
    <w:p w:rsidR="000E505B" w:rsidRDefault="000E505B" w:rsidP="008D17FE">
      <w:pPr>
        <w:jc w:val="both"/>
        <w:rPr>
          <w:rFonts w:ascii="Century" w:hAnsi="Century"/>
          <w:highlight w:val="yellow"/>
          <w:lang w:val="tr-TR"/>
        </w:rPr>
      </w:pPr>
    </w:p>
    <w:p w:rsidR="008D46AE" w:rsidRDefault="008D46AE" w:rsidP="008D17FE">
      <w:pPr>
        <w:jc w:val="both"/>
        <w:rPr>
          <w:rFonts w:ascii="Century" w:hAnsi="Century"/>
          <w:highlight w:val="yellow"/>
          <w:lang w:val="tr-TR"/>
        </w:rPr>
      </w:pPr>
    </w:p>
    <w:p w:rsidR="008D46AE" w:rsidRPr="00125AC5" w:rsidRDefault="00125AC5" w:rsidP="008D17FE">
      <w:pPr>
        <w:jc w:val="both"/>
        <w:rPr>
          <w:rFonts w:ascii="Century" w:hAnsi="Century"/>
          <w:highlight w:val="yellow"/>
          <w:lang w:val="tr-TR"/>
        </w:rPr>
      </w:pPr>
      <w:r w:rsidRPr="00125AC5">
        <w:lastRenderedPageBreak/>
        <w:pict>
          <v:shape id="_x0000_i1026" type="#_x0000_t75" style="width:476.25pt;height:651pt">
            <v:imagedata r:id="rId15" o:title=""/>
          </v:shape>
        </w:pict>
      </w:r>
    </w:p>
    <w:p w:rsidR="00AB757E" w:rsidRDefault="00AB757E" w:rsidP="008D17FE">
      <w:pPr>
        <w:rPr>
          <w:highlight w:val="yellow"/>
        </w:rPr>
      </w:pPr>
    </w:p>
    <w:p w:rsidR="00125AC5" w:rsidRDefault="00125AC5" w:rsidP="008D17FE">
      <w:pPr>
        <w:rPr>
          <w:highlight w:val="yellow"/>
        </w:rPr>
      </w:pPr>
    </w:p>
    <w:p w:rsidR="00125AC5" w:rsidRDefault="00125AC5" w:rsidP="008D17FE">
      <w:pPr>
        <w:rPr>
          <w:highlight w:val="yellow"/>
        </w:rPr>
      </w:pPr>
    </w:p>
    <w:p w:rsidR="00125AC5" w:rsidRPr="00125AC5" w:rsidRDefault="00125AC5" w:rsidP="008D17FE">
      <w:pPr>
        <w:rPr>
          <w:highlight w:val="yellow"/>
        </w:rPr>
      </w:pPr>
      <w:r w:rsidRPr="00125AC5">
        <w:lastRenderedPageBreak/>
        <w:pict>
          <v:shape id="_x0000_i1027" type="#_x0000_t75" style="width:468pt;height:697.5pt">
            <v:imagedata r:id="rId16" o:title=""/>
          </v:shape>
        </w:pict>
      </w:r>
    </w:p>
    <w:p w:rsidR="00651F4F" w:rsidRPr="00125AC5" w:rsidRDefault="00125AC5" w:rsidP="008D17FE">
      <w:pPr>
        <w:rPr>
          <w:highlight w:val="yellow"/>
        </w:rPr>
      </w:pPr>
      <w:r w:rsidRPr="00125AC5">
        <w:lastRenderedPageBreak/>
        <w:pict>
          <v:shape id="_x0000_i1028" type="#_x0000_t75" style="width:475.5pt;height:697.5pt">
            <v:imagedata r:id="rId17" o:title=""/>
          </v:shape>
        </w:pict>
      </w:r>
    </w:p>
    <w:p w:rsidR="00625ECA" w:rsidRPr="00367FA3" w:rsidRDefault="00625ECA" w:rsidP="008D17FE">
      <w:pPr>
        <w:rPr>
          <w:rFonts w:ascii="Century" w:hAnsi="Century"/>
          <w:highlight w:val="yellow"/>
          <w:lang w:val="tr-TR"/>
        </w:rPr>
      </w:pPr>
    </w:p>
    <w:p w:rsidR="00625ECA" w:rsidRPr="00367FA3" w:rsidRDefault="00625ECA" w:rsidP="008D17FE">
      <w:pPr>
        <w:rPr>
          <w:rFonts w:ascii="Century" w:hAnsi="Century"/>
          <w:highlight w:val="yellow"/>
          <w:lang w:val="tr-TR"/>
        </w:rPr>
      </w:pPr>
    </w:p>
    <w:p w:rsidR="00625ECA" w:rsidRPr="00367FA3" w:rsidRDefault="00625ECA"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A55CF3" w:rsidRPr="00F9493B" w:rsidRDefault="00A55CF3" w:rsidP="008D17FE">
      <w:pPr>
        <w:rPr>
          <w:rFonts w:ascii="Century" w:hAnsi="Century"/>
          <w:lang w:val="tr-TR"/>
        </w:rPr>
      </w:pPr>
    </w:p>
    <w:p w:rsidR="00A55CF3" w:rsidRPr="00F9493B" w:rsidRDefault="00A55CF3" w:rsidP="008D17FE">
      <w:pPr>
        <w:rPr>
          <w:rFonts w:ascii="Century" w:hAnsi="Century"/>
          <w:lang w:val="tr-TR"/>
        </w:rPr>
      </w:pPr>
    </w:p>
    <w:p w:rsidR="00A55CF3" w:rsidRPr="00C43A16" w:rsidRDefault="00A55CF3" w:rsidP="00A55CF3">
      <w:pPr>
        <w:ind w:firstLine="360"/>
        <w:rPr>
          <w:rFonts w:ascii="Century" w:hAnsi="Century"/>
          <w:b/>
          <w:color w:val="1C1C1C"/>
          <w:lang w:val="tr-TR"/>
        </w:rPr>
      </w:pPr>
      <w:r w:rsidRPr="00C43A16">
        <w:rPr>
          <w:rFonts w:ascii="Century" w:hAnsi="Century"/>
          <w:b/>
          <w:lang w:val="tr-TR"/>
        </w:rPr>
        <w:t xml:space="preserve">KISALTMALAR </w:t>
      </w:r>
      <w:r w:rsidRPr="00C43A16">
        <w:rPr>
          <w:rFonts w:ascii="Century" w:hAnsi="Century"/>
          <w:b/>
          <w:color w:val="1C1C1C"/>
          <w:lang w:val="tr-TR"/>
        </w:rPr>
        <w:t>- ABBREVIATIONS</w:t>
      </w:r>
    </w:p>
    <w:p w:rsidR="00A55CF3" w:rsidRPr="00C43A16" w:rsidRDefault="00A55CF3" w:rsidP="00A55CF3">
      <w:pPr>
        <w:ind w:firstLine="360"/>
        <w:rPr>
          <w:rFonts w:ascii="Century" w:hAnsi="Century"/>
          <w:lang w:val="tr-TR"/>
        </w:rPr>
      </w:pPr>
    </w:p>
    <w:p w:rsidR="00A55CF3" w:rsidRPr="00C43A16" w:rsidRDefault="00A55CF3" w:rsidP="00A55CF3">
      <w:pPr>
        <w:ind w:firstLine="360"/>
        <w:rPr>
          <w:rFonts w:ascii="Century" w:hAnsi="Century"/>
          <w:lang w:val="tr-TR"/>
        </w:rPr>
      </w:pPr>
    </w:p>
    <w:p w:rsidR="00A55CF3" w:rsidRPr="00F9493B" w:rsidRDefault="00A55CF3" w:rsidP="00A55CF3">
      <w:pPr>
        <w:rPr>
          <w:rFonts w:ascii="Century" w:hAnsi="Century"/>
          <w:noProof/>
          <w:lang w:val="tr-TR"/>
        </w:rPr>
      </w:pPr>
      <w:r w:rsidRPr="00C43A16">
        <w:rPr>
          <w:rFonts w:ascii="Century" w:hAnsi="Century"/>
          <w:lang w:val="tr-TR"/>
        </w:rPr>
        <w:t>AB</w:t>
      </w:r>
      <w:r w:rsidRPr="00C43A16">
        <w:rPr>
          <w:rFonts w:ascii="Century" w:hAnsi="Century"/>
          <w:lang w:val="tr-TR"/>
        </w:rPr>
        <w:tab/>
      </w:r>
      <w:r w:rsidRPr="00C43A16">
        <w:rPr>
          <w:rFonts w:ascii="Century" w:hAnsi="Century"/>
          <w:lang w:val="tr-TR"/>
        </w:rPr>
        <w:tab/>
      </w:r>
      <w:r w:rsidRPr="00F9493B">
        <w:rPr>
          <w:rFonts w:ascii="Century" w:hAnsi="Century"/>
          <w:noProof/>
          <w:lang w:val="tr-TR"/>
        </w:rPr>
        <w:t>Avrupa Birliği</w:t>
      </w:r>
    </w:p>
    <w:p w:rsidR="00A55CF3" w:rsidRPr="00F9493B" w:rsidRDefault="00A55CF3" w:rsidP="00A55CF3">
      <w:pPr>
        <w:rPr>
          <w:rFonts w:ascii="Century" w:hAnsi="Century"/>
          <w:noProof/>
          <w:lang w:val="tr-TR"/>
        </w:rPr>
      </w:pPr>
      <w:r w:rsidRPr="00F9493B">
        <w:rPr>
          <w:rFonts w:ascii="Century" w:hAnsi="Century"/>
          <w:noProof/>
          <w:lang w:val="tr-TR"/>
        </w:rPr>
        <w:t>ABD</w:t>
      </w:r>
      <w:r w:rsidRPr="00F9493B">
        <w:rPr>
          <w:rFonts w:ascii="Century" w:hAnsi="Century"/>
          <w:noProof/>
          <w:lang w:val="tr-TR"/>
        </w:rPr>
        <w:tab/>
      </w:r>
      <w:r w:rsidRPr="00F9493B">
        <w:rPr>
          <w:rFonts w:ascii="Century" w:hAnsi="Century"/>
          <w:noProof/>
          <w:lang w:val="tr-TR"/>
        </w:rPr>
        <w:tab/>
        <w:t>Amerika Birleşik Devletleri</w:t>
      </w:r>
    </w:p>
    <w:p w:rsidR="00A55CF3" w:rsidRPr="00F9493B" w:rsidRDefault="00A55CF3" w:rsidP="00A55CF3">
      <w:pPr>
        <w:rPr>
          <w:rFonts w:ascii="Century" w:hAnsi="Century"/>
          <w:noProof/>
          <w:lang w:val="tr-TR"/>
        </w:rPr>
      </w:pPr>
      <w:r w:rsidRPr="00F9493B">
        <w:rPr>
          <w:rFonts w:ascii="Century" w:hAnsi="Century"/>
          <w:noProof/>
          <w:lang w:val="tr-TR"/>
        </w:rPr>
        <w:t>AŞ</w:t>
      </w:r>
      <w:r w:rsidRPr="00F9493B">
        <w:rPr>
          <w:rFonts w:ascii="Century" w:hAnsi="Century"/>
          <w:noProof/>
          <w:lang w:val="tr-TR"/>
        </w:rPr>
        <w:tab/>
      </w:r>
      <w:r w:rsidRPr="00F9493B">
        <w:rPr>
          <w:rFonts w:ascii="Century" w:hAnsi="Century"/>
          <w:noProof/>
          <w:lang w:val="tr-TR"/>
        </w:rPr>
        <w:tab/>
        <w:t>Anonim Şirket</w:t>
      </w:r>
    </w:p>
    <w:p w:rsidR="00A55CF3" w:rsidRPr="00F9493B" w:rsidRDefault="00A55CF3" w:rsidP="00A55CF3">
      <w:pPr>
        <w:rPr>
          <w:rFonts w:ascii="Century" w:hAnsi="Century"/>
          <w:noProof/>
          <w:lang w:val="tr-TR"/>
        </w:rPr>
      </w:pPr>
      <w:r w:rsidRPr="00F9493B">
        <w:rPr>
          <w:rFonts w:ascii="Century" w:hAnsi="Century"/>
          <w:noProof/>
          <w:lang w:val="tr-TR"/>
        </w:rPr>
        <w:t>BDDK</w:t>
      </w:r>
      <w:r w:rsidRPr="00F9493B">
        <w:rPr>
          <w:rFonts w:ascii="Century" w:hAnsi="Century"/>
          <w:noProof/>
          <w:lang w:val="tr-TR"/>
        </w:rPr>
        <w:tab/>
        <w:t>Bankacılık Düzenleme ve Denetleme Kurulu</w:t>
      </w:r>
    </w:p>
    <w:p w:rsidR="00A55CF3" w:rsidRPr="00F9493B" w:rsidRDefault="00A55CF3" w:rsidP="00A55CF3">
      <w:pPr>
        <w:rPr>
          <w:rFonts w:ascii="Century" w:hAnsi="Century"/>
          <w:noProof/>
          <w:lang w:val="tr-TR"/>
        </w:rPr>
      </w:pPr>
      <w:r w:rsidRPr="00F9493B">
        <w:rPr>
          <w:rFonts w:ascii="Century" w:hAnsi="Century"/>
          <w:noProof/>
          <w:lang w:val="tr-TR"/>
        </w:rPr>
        <w:t>DASK</w:t>
      </w:r>
      <w:r w:rsidRPr="00F9493B">
        <w:rPr>
          <w:rFonts w:ascii="Century" w:hAnsi="Century"/>
          <w:noProof/>
          <w:lang w:val="tr-TR"/>
        </w:rPr>
        <w:tab/>
      </w:r>
      <w:r w:rsidRPr="00F9493B">
        <w:rPr>
          <w:rFonts w:ascii="Century" w:hAnsi="Century"/>
          <w:noProof/>
          <w:lang w:val="tr-TR"/>
        </w:rPr>
        <w:tab/>
        <w:t>Doğal Afet Sigortaları Kurumu</w:t>
      </w:r>
    </w:p>
    <w:p w:rsidR="00A55CF3" w:rsidRPr="00F9493B" w:rsidRDefault="00A55CF3" w:rsidP="00A55CF3">
      <w:pPr>
        <w:rPr>
          <w:rFonts w:ascii="Century" w:hAnsi="Century"/>
          <w:noProof/>
          <w:lang w:val="tr-TR"/>
        </w:rPr>
      </w:pPr>
      <w:r w:rsidRPr="00F9493B">
        <w:rPr>
          <w:rFonts w:ascii="Century" w:hAnsi="Century"/>
          <w:noProof/>
          <w:lang w:val="tr-TR"/>
        </w:rPr>
        <w:t>DD</w:t>
      </w:r>
      <w:r w:rsidRPr="00F9493B">
        <w:rPr>
          <w:rFonts w:ascii="Century" w:hAnsi="Century"/>
          <w:noProof/>
          <w:lang w:val="tr-TR"/>
        </w:rPr>
        <w:tab/>
      </w:r>
      <w:r w:rsidRPr="00F9493B">
        <w:rPr>
          <w:rFonts w:ascii="Century" w:hAnsi="Century"/>
          <w:noProof/>
          <w:lang w:val="tr-TR"/>
        </w:rPr>
        <w:tab/>
        <w:t>Devlet Destekli</w:t>
      </w:r>
    </w:p>
    <w:p w:rsidR="00A55CF3" w:rsidRPr="00F9493B" w:rsidRDefault="00A55CF3" w:rsidP="00A55CF3">
      <w:pPr>
        <w:rPr>
          <w:rFonts w:ascii="Century" w:hAnsi="Century"/>
          <w:noProof/>
          <w:lang w:val="tr-TR"/>
        </w:rPr>
      </w:pPr>
      <w:r w:rsidRPr="00F9493B">
        <w:rPr>
          <w:rFonts w:ascii="Century" w:hAnsi="Century"/>
          <w:noProof/>
          <w:lang w:val="tr-TR"/>
        </w:rPr>
        <w:t>EGM</w:t>
      </w:r>
      <w:r w:rsidRPr="00F9493B">
        <w:rPr>
          <w:rFonts w:ascii="Century" w:hAnsi="Century"/>
          <w:noProof/>
          <w:lang w:val="tr-TR"/>
        </w:rPr>
        <w:tab/>
      </w:r>
      <w:r w:rsidRPr="00F9493B">
        <w:rPr>
          <w:rFonts w:ascii="Century" w:hAnsi="Century"/>
          <w:noProof/>
          <w:lang w:val="tr-TR"/>
        </w:rPr>
        <w:tab/>
        <w:t>Emeklilik Gözetim Merkezi AŞ</w:t>
      </w:r>
    </w:p>
    <w:p w:rsidR="00A55CF3" w:rsidRPr="00F9493B" w:rsidRDefault="00A55CF3" w:rsidP="00A55CF3">
      <w:pPr>
        <w:rPr>
          <w:rFonts w:ascii="Century" w:hAnsi="Century"/>
          <w:noProof/>
          <w:lang w:val="tr-TR"/>
        </w:rPr>
      </w:pPr>
      <w:r w:rsidRPr="00F9493B">
        <w:rPr>
          <w:rFonts w:ascii="Century" w:hAnsi="Century"/>
          <w:noProof/>
          <w:lang w:val="tr-TR"/>
        </w:rPr>
        <w:t>GSYİH</w:t>
      </w:r>
      <w:r w:rsidRPr="00F9493B">
        <w:rPr>
          <w:rFonts w:ascii="Century" w:hAnsi="Century"/>
          <w:noProof/>
          <w:lang w:val="tr-TR"/>
        </w:rPr>
        <w:tab/>
        <w:t>Gayri Safi Yurtiçi Hasıla</w:t>
      </w:r>
    </w:p>
    <w:p w:rsidR="00A55CF3" w:rsidRPr="00F9493B" w:rsidRDefault="00A55CF3" w:rsidP="00A55CF3">
      <w:pPr>
        <w:rPr>
          <w:rFonts w:ascii="Century" w:hAnsi="Century"/>
          <w:noProof/>
          <w:lang w:val="tr-TR"/>
        </w:rPr>
      </w:pPr>
      <w:r w:rsidRPr="00F9493B">
        <w:rPr>
          <w:rFonts w:ascii="Century" w:hAnsi="Century"/>
          <w:noProof/>
          <w:lang w:val="tr-TR"/>
        </w:rPr>
        <w:t>GŞ</w:t>
      </w:r>
      <w:r w:rsidRPr="00F9493B">
        <w:rPr>
          <w:rFonts w:ascii="Century" w:hAnsi="Century"/>
          <w:noProof/>
          <w:lang w:val="tr-TR"/>
        </w:rPr>
        <w:tab/>
      </w:r>
      <w:r w:rsidRPr="00F9493B">
        <w:rPr>
          <w:rFonts w:ascii="Century" w:hAnsi="Century"/>
          <w:noProof/>
          <w:lang w:val="tr-TR"/>
        </w:rPr>
        <w:tab/>
        <w:t>Genel Şart</w:t>
      </w:r>
    </w:p>
    <w:p w:rsidR="00A55CF3" w:rsidRPr="00F9493B" w:rsidRDefault="00A55CF3" w:rsidP="00A55CF3">
      <w:pPr>
        <w:rPr>
          <w:rFonts w:ascii="Century" w:hAnsi="Century"/>
          <w:noProof/>
          <w:lang w:val="tr-TR"/>
        </w:rPr>
      </w:pPr>
      <w:r w:rsidRPr="00F9493B">
        <w:rPr>
          <w:rFonts w:ascii="Century" w:hAnsi="Century"/>
          <w:noProof/>
          <w:lang w:val="tr-TR"/>
        </w:rPr>
        <w:t>KHK</w:t>
      </w:r>
      <w:r w:rsidRPr="00F9493B">
        <w:rPr>
          <w:rFonts w:ascii="Century" w:hAnsi="Century"/>
          <w:noProof/>
          <w:lang w:val="tr-TR"/>
        </w:rPr>
        <w:tab/>
      </w:r>
      <w:r w:rsidRPr="00F9493B">
        <w:rPr>
          <w:rFonts w:ascii="Century" w:hAnsi="Century"/>
          <w:noProof/>
          <w:lang w:val="tr-TR"/>
        </w:rPr>
        <w:tab/>
        <w:t>Kanun Hükmünde Kararname</w:t>
      </w:r>
    </w:p>
    <w:p w:rsidR="00A55CF3" w:rsidRPr="00F9493B" w:rsidRDefault="00A55CF3" w:rsidP="00A55CF3">
      <w:pPr>
        <w:rPr>
          <w:rFonts w:ascii="Century" w:hAnsi="Century"/>
          <w:noProof/>
          <w:lang w:val="tr-TR"/>
        </w:rPr>
      </w:pPr>
      <w:r w:rsidRPr="00F9493B">
        <w:rPr>
          <w:rFonts w:ascii="Century" w:hAnsi="Century"/>
          <w:noProof/>
          <w:lang w:val="tr-TR"/>
        </w:rPr>
        <w:t>KTK</w:t>
      </w:r>
      <w:r w:rsidRPr="00F9493B">
        <w:rPr>
          <w:rFonts w:ascii="Century" w:hAnsi="Century"/>
          <w:noProof/>
          <w:lang w:val="tr-TR"/>
        </w:rPr>
        <w:tab/>
      </w:r>
      <w:r w:rsidRPr="00F9493B">
        <w:rPr>
          <w:rFonts w:ascii="Century" w:hAnsi="Century"/>
          <w:noProof/>
          <w:lang w:val="tr-TR"/>
        </w:rPr>
        <w:tab/>
        <w:t>Karayolları Trafik Kanunu</w:t>
      </w:r>
    </w:p>
    <w:p w:rsidR="00A55CF3" w:rsidRDefault="00A55CF3" w:rsidP="00A55CF3">
      <w:pPr>
        <w:rPr>
          <w:rFonts w:ascii="Century" w:hAnsi="Century"/>
          <w:noProof/>
          <w:lang w:val="tr-TR"/>
        </w:rPr>
      </w:pPr>
      <w:smartTag w:uri="urn:schemas-microsoft-com:office:smarttags" w:element="stockticker">
        <w:r w:rsidRPr="00F9493B">
          <w:rPr>
            <w:rFonts w:ascii="Century" w:hAnsi="Century"/>
            <w:noProof/>
            <w:lang w:val="tr-TR"/>
          </w:rPr>
          <w:t>MSS</w:t>
        </w:r>
      </w:smartTag>
      <w:r w:rsidRPr="00F9493B">
        <w:rPr>
          <w:rFonts w:ascii="Century" w:hAnsi="Century"/>
          <w:noProof/>
          <w:lang w:val="tr-TR"/>
        </w:rPr>
        <w:tab/>
      </w:r>
      <w:r w:rsidRPr="00F9493B">
        <w:rPr>
          <w:rFonts w:ascii="Century" w:hAnsi="Century"/>
          <w:noProof/>
          <w:lang w:val="tr-TR"/>
        </w:rPr>
        <w:tab/>
        <w:t>Mali Sorumluluk Sigortası</w:t>
      </w:r>
    </w:p>
    <w:p w:rsidR="005427A2" w:rsidRDefault="005427A2" w:rsidP="005427A2">
      <w:pPr>
        <w:rPr>
          <w:rFonts w:ascii="Century" w:hAnsi="Century"/>
          <w:noProof/>
          <w:lang w:val="tr-TR"/>
        </w:rPr>
      </w:pPr>
      <w:r w:rsidRPr="005427A2">
        <w:rPr>
          <w:rFonts w:ascii="Century" w:hAnsi="Century"/>
          <w:noProof/>
          <w:lang w:val="tr-TR"/>
        </w:rPr>
        <w:t>RG</w:t>
      </w:r>
      <w:r w:rsidRPr="005427A2">
        <w:rPr>
          <w:rFonts w:ascii="Century" w:hAnsi="Century"/>
          <w:noProof/>
          <w:lang w:val="tr-TR"/>
        </w:rPr>
        <w:tab/>
      </w:r>
      <w:r w:rsidRPr="005427A2">
        <w:rPr>
          <w:rFonts w:ascii="Century" w:hAnsi="Century"/>
          <w:noProof/>
          <w:lang w:val="tr-TR"/>
        </w:rPr>
        <w:tab/>
        <w:t>Resmi Gazete</w:t>
      </w:r>
    </w:p>
    <w:p w:rsidR="00A92309" w:rsidRPr="00F9493B" w:rsidRDefault="00A92309" w:rsidP="00A55CF3">
      <w:pPr>
        <w:rPr>
          <w:rFonts w:ascii="Century" w:hAnsi="Century"/>
          <w:noProof/>
          <w:lang w:val="tr-TR"/>
        </w:rPr>
      </w:pPr>
      <w:r w:rsidRPr="00F9493B">
        <w:rPr>
          <w:rFonts w:ascii="Century" w:hAnsi="Century"/>
          <w:noProof/>
          <w:lang w:val="tr-TR"/>
        </w:rPr>
        <w:t>SDK</w:t>
      </w:r>
      <w:r w:rsidRPr="00F9493B">
        <w:rPr>
          <w:rFonts w:ascii="Century" w:hAnsi="Century"/>
          <w:noProof/>
          <w:lang w:val="tr-TR"/>
        </w:rPr>
        <w:tab/>
      </w:r>
      <w:r w:rsidRPr="00F9493B">
        <w:rPr>
          <w:rFonts w:ascii="Century" w:hAnsi="Century"/>
          <w:noProof/>
          <w:lang w:val="tr-TR"/>
        </w:rPr>
        <w:tab/>
        <w:t>Sigorta Denetleme Kurulu</w:t>
      </w:r>
    </w:p>
    <w:p w:rsidR="00A55CF3" w:rsidRPr="00F9493B" w:rsidRDefault="00A55CF3" w:rsidP="00A55CF3">
      <w:pPr>
        <w:rPr>
          <w:rFonts w:ascii="Century" w:hAnsi="Century"/>
          <w:noProof/>
          <w:lang w:val="tr-TR"/>
        </w:rPr>
      </w:pPr>
      <w:r w:rsidRPr="00F9493B">
        <w:rPr>
          <w:rFonts w:ascii="Century" w:hAnsi="Century"/>
          <w:noProof/>
          <w:lang w:val="tr-TR"/>
        </w:rPr>
        <w:t>TARSİM</w:t>
      </w:r>
      <w:r w:rsidRPr="00F9493B">
        <w:rPr>
          <w:rFonts w:ascii="Century" w:hAnsi="Century"/>
          <w:noProof/>
          <w:lang w:val="tr-TR"/>
        </w:rPr>
        <w:tab/>
        <w:t>Tarım Sigortaları Havuz İşletmesi AŞ</w:t>
      </w:r>
    </w:p>
    <w:p w:rsidR="00A55CF3" w:rsidRPr="00F9493B" w:rsidRDefault="00A55CF3" w:rsidP="00A55CF3">
      <w:pPr>
        <w:rPr>
          <w:rFonts w:ascii="Century" w:hAnsi="Century"/>
          <w:noProof/>
          <w:lang w:val="tr-TR"/>
        </w:rPr>
      </w:pPr>
      <w:r w:rsidRPr="00F9493B">
        <w:rPr>
          <w:rFonts w:ascii="Century" w:hAnsi="Century"/>
          <w:noProof/>
          <w:lang w:val="tr-TR"/>
        </w:rPr>
        <w:t>TRAMER</w:t>
      </w:r>
      <w:r w:rsidRPr="00F9493B">
        <w:rPr>
          <w:rFonts w:ascii="Century" w:hAnsi="Century"/>
          <w:noProof/>
          <w:lang w:val="tr-TR"/>
        </w:rPr>
        <w:tab/>
        <w:t>Trafik Sigortası Bilgi Merkezi</w:t>
      </w:r>
    </w:p>
    <w:p w:rsidR="00A55CF3" w:rsidRPr="00F9493B" w:rsidRDefault="00A55CF3" w:rsidP="00A55CF3">
      <w:pPr>
        <w:rPr>
          <w:rFonts w:ascii="Century" w:hAnsi="Century"/>
          <w:noProof/>
          <w:lang w:val="tr-TR"/>
        </w:rPr>
      </w:pPr>
      <w:r w:rsidRPr="00F9493B">
        <w:rPr>
          <w:rFonts w:ascii="Century" w:hAnsi="Century"/>
          <w:noProof/>
          <w:lang w:val="tr-TR"/>
        </w:rPr>
        <w:t>TSRŞB</w:t>
      </w:r>
      <w:r w:rsidRPr="00F9493B">
        <w:rPr>
          <w:rFonts w:ascii="Century" w:hAnsi="Century"/>
          <w:noProof/>
          <w:lang w:val="tr-TR"/>
        </w:rPr>
        <w:tab/>
        <w:t>Türkiye Sigorta ve Reasürans Şirketleri Birliği</w:t>
      </w:r>
    </w:p>
    <w:p w:rsidR="00A55CF3" w:rsidRPr="00F9493B" w:rsidRDefault="008154AF" w:rsidP="00A55CF3">
      <w:pPr>
        <w:rPr>
          <w:rFonts w:ascii="Century" w:hAnsi="Century"/>
          <w:noProof/>
          <w:lang w:val="tr-TR"/>
        </w:rPr>
      </w:pPr>
      <w:r>
        <w:rPr>
          <w:rFonts w:ascii="Century" w:hAnsi="Century"/>
          <w:noProof/>
          <w:lang w:val="tr-TR"/>
        </w:rPr>
        <w:t>T</w:t>
      </w:r>
      <w:r w:rsidR="00743166" w:rsidRPr="00F9493B">
        <w:rPr>
          <w:rFonts w:ascii="Century" w:hAnsi="Century"/>
          <w:noProof/>
          <w:lang w:val="tr-TR"/>
        </w:rPr>
        <w:t>ÜFE</w:t>
      </w:r>
      <w:r w:rsidR="00743166" w:rsidRPr="00F9493B">
        <w:rPr>
          <w:rFonts w:ascii="Century" w:hAnsi="Century"/>
          <w:noProof/>
          <w:lang w:val="tr-TR"/>
        </w:rPr>
        <w:tab/>
      </w:r>
      <w:r w:rsidR="00743166" w:rsidRPr="00F9493B">
        <w:rPr>
          <w:rFonts w:ascii="Century" w:hAnsi="Century"/>
          <w:noProof/>
          <w:lang w:val="tr-TR"/>
        </w:rPr>
        <w:tab/>
      </w:r>
      <w:r>
        <w:rPr>
          <w:rFonts w:ascii="Century" w:hAnsi="Century"/>
          <w:noProof/>
          <w:lang w:val="tr-TR"/>
        </w:rPr>
        <w:t>Tük</w:t>
      </w:r>
      <w:r w:rsidR="00A55CF3" w:rsidRPr="00F9493B">
        <w:rPr>
          <w:rFonts w:ascii="Century" w:hAnsi="Century"/>
          <w:noProof/>
          <w:lang w:val="tr-TR"/>
        </w:rPr>
        <w:t>etici Fiyatları Endeski</w:t>
      </w:r>
    </w:p>
    <w:p w:rsidR="00A55CF3" w:rsidRPr="00F9493B" w:rsidRDefault="00A55CF3" w:rsidP="00A55CF3">
      <w:pPr>
        <w:rPr>
          <w:rFonts w:ascii="Century" w:hAnsi="Century"/>
          <w:noProof/>
          <w:lang w:val="tr-TR"/>
        </w:rPr>
      </w:pPr>
      <w:r w:rsidRPr="00F9493B">
        <w:rPr>
          <w:rFonts w:ascii="Century" w:hAnsi="Century"/>
          <w:noProof/>
          <w:lang w:val="tr-TR"/>
        </w:rPr>
        <w:t xml:space="preserve">YTL </w:t>
      </w:r>
      <w:r w:rsidRPr="00F9493B">
        <w:rPr>
          <w:rFonts w:ascii="Century" w:hAnsi="Century"/>
          <w:noProof/>
          <w:lang w:val="tr-TR"/>
        </w:rPr>
        <w:tab/>
      </w:r>
      <w:r w:rsidRPr="00F9493B">
        <w:rPr>
          <w:rFonts w:ascii="Century" w:hAnsi="Century"/>
          <w:noProof/>
          <w:lang w:val="tr-TR"/>
        </w:rPr>
        <w:tab/>
        <w:t>Yeni Türk Lirası</w:t>
      </w:r>
    </w:p>
    <w:p w:rsidR="00A55CF3" w:rsidRPr="00F9493B" w:rsidRDefault="00A55CF3" w:rsidP="00A55CF3">
      <w:pPr>
        <w:rPr>
          <w:rFonts w:ascii="Century" w:hAnsi="Century"/>
          <w:noProof/>
          <w:lang w:val="tr-TR"/>
        </w:rPr>
      </w:pPr>
      <w:r w:rsidRPr="00F9493B">
        <w:rPr>
          <w:rFonts w:ascii="Century" w:hAnsi="Century"/>
          <w:noProof/>
          <w:lang w:val="tr-TR"/>
        </w:rPr>
        <w:t>ZMSS</w:t>
      </w:r>
      <w:r w:rsidRPr="00F9493B">
        <w:rPr>
          <w:rFonts w:ascii="Century" w:hAnsi="Century"/>
          <w:noProof/>
          <w:lang w:val="tr-TR"/>
        </w:rPr>
        <w:tab/>
      </w:r>
      <w:r w:rsidRPr="00F9493B">
        <w:rPr>
          <w:rFonts w:ascii="Century" w:hAnsi="Century"/>
          <w:noProof/>
          <w:lang w:val="tr-TR"/>
        </w:rPr>
        <w:tab/>
        <w:t>Zorunlu Mali Sorumluluk Sigottası</w:t>
      </w:r>
    </w:p>
    <w:p w:rsidR="00A55CF3" w:rsidRPr="00F9493B" w:rsidRDefault="00A55CF3" w:rsidP="00A55CF3">
      <w:pPr>
        <w:rPr>
          <w:rFonts w:ascii="Century" w:hAnsi="Century"/>
          <w:noProof/>
          <w:lang w:val="tr-TR"/>
        </w:rPr>
      </w:pPr>
      <w:r w:rsidRPr="00F9493B">
        <w:rPr>
          <w:rFonts w:ascii="Century" w:hAnsi="Century"/>
          <w:noProof/>
          <w:lang w:val="tr-TR"/>
        </w:rPr>
        <w:t>ZSS</w:t>
      </w:r>
      <w:r w:rsidRPr="00F9493B">
        <w:rPr>
          <w:rFonts w:ascii="Century" w:hAnsi="Century"/>
          <w:noProof/>
          <w:lang w:val="tr-TR"/>
        </w:rPr>
        <w:tab/>
      </w:r>
      <w:r w:rsidRPr="00F9493B">
        <w:rPr>
          <w:rFonts w:ascii="Century" w:hAnsi="Century"/>
          <w:noProof/>
          <w:lang w:val="tr-TR"/>
        </w:rPr>
        <w:tab/>
        <w:t>Zorunlu Sorumluluk Sigortası</w:t>
      </w:r>
    </w:p>
    <w:p w:rsidR="00A55CF3" w:rsidRPr="00C43A16" w:rsidRDefault="00A55CF3" w:rsidP="00A55CF3">
      <w:pPr>
        <w:rPr>
          <w:rFonts w:ascii="Century" w:hAnsi="Century"/>
          <w:lang w:val="tr-TR"/>
        </w:rPr>
      </w:pPr>
    </w:p>
    <w:p w:rsidR="00A55CF3" w:rsidRPr="00C43A16" w:rsidRDefault="00A55CF3" w:rsidP="00A55CF3">
      <w:pPr>
        <w:rPr>
          <w:rFonts w:ascii="Century" w:hAnsi="Century"/>
          <w:lang w:val="tr-TR"/>
        </w:rPr>
      </w:pPr>
    </w:p>
    <w:p w:rsidR="00A55CF3" w:rsidRDefault="00A55CF3" w:rsidP="00A55CF3">
      <w:pPr>
        <w:rPr>
          <w:rFonts w:ascii="Century" w:hAnsi="Century"/>
          <w:color w:val="1C1C1C"/>
        </w:rPr>
      </w:pPr>
      <w:r w:rsidRPr="00F9493B">
        <w:rPr>
          <w:rFonts w:ascii="Century" w:hAnsi="Century"/>
          <w:color w:val="1C1C1C"/>
        </w:rPr>
        <w:t>BRSA</w:t>
      </w:r>
      <w:r w:rsidRPr="00F9493B">
        <w:rPr>
          <w:rFonts w:ascii="Century" w:hAnsi="Century"/>
          <w:color w:val="1C1C1C"/>
        </w:rPr>
        <w:tab/>
      </w:r>
      <w:r w:rsidRPr="00F9493B">
        <w:rPr>
          <w:rFonts w:ascii="Century" w:hAnsi="Century"/>
          <w:color w:val="1C1C1C"/>
        </w:rPr>
        <w:tab/>
        <w:t>Banking Regulation and Supervision Agency</w:t>
      </w:r>
    </w:p>
    <w:p w:rsidR="008154AF" w:rsidRPr="00F9493B" w:rsidRDefault="008154AF" w:rsidP="008154AF">
      <w:pPr>
        <w:rPr>
          <w:rFonts w:ascii="Century" w:hAnsi="Century"/>
          <w:color w:val="1C1C1C"/>
        </w:rPr>
      </w:pPr>
      <w:r>
        <w:rPr>
          <w:rFonts w:ascii="Century" w:hAnsi="Century"/>
          <w:color w:val="1C1C1C"/>
        </w:rPr>
        <w:t>C</w:t>
      </w:r>
      <w:r w:rsidRPr="00F9493B">
        <w:rPr>
          <w:rFonts w:ascii="Century" w:hAnsi="Century"/>
          <w:color w:val="1C1C1C"/>
        </w:rPr>
        <w:t>PI</w:t>
      </w:r>
      <w:r w:rsidRPr="00F9493B">
        <w:rPr>
          <w:rFonts w:ascii="Century" w:hAnsi="Century"/>
          <w:color w:val="1C1C1C"/>
        </w:rPr>
        <w:tab/>
      </w:r>
      <w:r w:rsidRPr="00F9493B">
        <w:rPr>
          <w:rFonts w:ascii="Century" w:hAnsi="Century"/>
          <w:color w:val="1C1C1C"/>
        </w:rPr>
        <w:tab/>
      </w:r>
      <w:r>
        <w:rPr>
          <w:rFonts w:ascii="Century" w:hAnsi="Century"/>
          <w:color w:val="1C1C1C"/>
        </w:rPr>
        <w:t>Consumer</w:t>
      </w:r>
      <w:r w:rsidRPr="00F9493B">
        <w:rPr>
          <w:rFonts w:ascii="Century" w:hAnsi="Century"/>
          <w:color w:val="1C1C1C"/>
        </w:rPr>
        <w:t xml:space="preserve"> Price Index</w:t>
      </w:r>
    </w:p>
    <w:p w:rsidR="00A55CF3" w:rsidRPr="00F9493B" w:rsidRDefault="00A55CF3" w:rsidP="00A55CF3">
      <w:pPr>
        <w:rPr>
          <w:rFonts w:ascii="Century" w:hAnsi="Century"/>
          <w:color w:val="1C1C1C"/>
        </w:rPr>
      </w:pPr>
      <w:r w:rsidRPr="00F9493B">
        <w:rPr>
          <w:rFonts w:ascii="Century" w:hAnsi="Century"/>
          <w:color w:val="1C1C1C"/>
        </w:rPr>
        <w:t>EGM</w:t>
      </w:r>
      <w:r w:rsidRPr="00F9493B">
        <w:rPr>
          <w:rFonts w:ascii="Century" w:hAnsi="Century"/>
          <w:color w:val="1C1C1C"/>
        </w:rPr>
        <w:tab/>
      </w:r>
      <w:r w:rsidRPr="00F9493B">
        <w:rPr>
          <w:rFonts w:ascii="Century" w:hAnsi="Century"/>
          <w:color w:val="1C1C1C"/>
        </w:rPr>
        <w:tab/>
        <w:t>Pension Monitoring Center</w:t>
      </w:r>
    </w:p>
    <w:p w:rsidR="00A55CF3" w:rsidRPr="00F9493B" w:rsidRDefault="00A55CF3" w:rsidP="00A55CF3">
      <w:pPr>
        <w:rPr>
          <w:rFonts w:ascii="Century" w:hAnsi="Century"/>
          <w:color w:val="1C1C1C"/>
        </w:rPr>
      </w:pPr>
      <w:r w:rsidRPr="00F9493B">
        <w:rPr>
          <w:rFonts w:ascii="Century" w:hAnsi="Century"/>
          <w:color w:val="1C1C1C"/>
        </w:rPr>
        <w:t xml:space="preserve">EU </w:t>
      </w:r>
      <w:r w:rsidRPr="00F9493B">
        <w:rPr>
          <w:rFonts w:ascii="Century" w:hAnsi="Century"/>
          <w:color w:val="1C1C1C"/>
        </w:rPr>
        <w:tab/>
      </w:r>
      <w:r w:rsidRPr="00F9493B">
        <w:rPr>
          <w:rFonts w:ascii="Century" w:hAnsi="Century"/>
          <w:color w:val="1C1C1C"/>
        </w:rPr>
        <w:tab/>
        <w:t>European Union</w:t>
      </w:r>
    </w:p>
    <w:p w:rsidR="00A55CF3" w:rsidRPr="00F9493B" w:rsidRDefault="00A55CF3" w:rsidP="00A55CF3">
      <w:pPr>
        <w:rPr>
          <w:rFonts w:ascii="Century" w:hAnsi="Century"/>
          <w:color w:val="1C1C1C"/>
        </w:rPr>
      </w:pPr>
      <w:smartTag w:uri="urn:schemas-microsoft-com:office:smarttags" w:element="stockticker">
        <w:r w:rsidRPr="00F9493B">
          <w:rPr>
            <w:rFonts w:ascii="Century" w:hAnsi="Century"/>
            <w:color w:val="1C1C1C"/>
          </w:rPr>
          <w:t>GDP</w:t>
        </w:r>
      </w:smartTag>
      <w:r w:rsidRPr="00F9493B">
        <w:rPr>
          <w:rFonts w:ascii="Century" w:hAnsi="Century"/>
          <w:color w:val="1C1C1C"/>
        </w:rPr>
        <w:tab/>
      </w:r>
      <w:r w:rsidRPr="00F9493B">
        <w:rPr>
          <w:rFonts w:ascii="Century" w:hAnsi="Century"/>
          <w:color w:val="1C1C1C"/>
        </w:rPr>
        <w:tab/>
        <w:t>Gross Domestic Product</w:t>
      </w:r>
    </w:p>
    <w:p w:rsidR="00A92309" w:rsidRPr="00F9493B" w:rsidRDefault="00A92309" w:rsidP="00A55CF3">
      <w:pPr>
        <w:rPr>
          <w:rFonts w:ascii="Century" w:hAnsi="Century"/>
          <w:color w:val="1C1C1C"/>
        </w:rPr>
      </w:pPr>
      <w:r w:rsidRPr="00F9493B">
        <w:rPr>
          <w:rFonts w:ascii="Century" w:hAnsi="Century"/>
          <w:color w:val="1C1C1C"/>
        </w:rPr>
        <w:t>ISB</w:t>
      </w:r>
      <w:r w:rsidRPr="00F9493B">
        <w:rPr>
          <w:rFonts w:ascii="Century" w:hAnsi="Century"/>
          <w:color w:val="1C1C1C"/>
        </w:rPr>
        <w:tab/>
      </w:r>
      <w:r w:rsidRPr="00F9493B">
        <w:rPr>
          <w:rFonts w:ascii="Century" w:hAnsi="Century"/>
          <w:color w:val="1C1C1C"/>
        </w:rPr>
        <w:tab/>
        <w:t>Insurance Supervisory Board</w:t>
      </w:r>
    </w:p>
    <w:p w:rsidR="00A55CF3" w:rsidRPr="00F9493B" w:rsidRDefault="00A55CF3" w:rsidP="00A55CF3">
      <w:pPr>
        <w:rPr>
          <w:rFonts w:ascii="Century" w:hAnsi="Century"/>
          <w:color w:val="1C1C1C"/>
        </w:rPr>
      </w:pPr>
      <w:r w:rsidRPr="00F9493B">
        <w:rPr>
          <w:rFonts w:ascii="Century" w:hAnsi="Century"/>
          <w:color w:val="1C1C1C"/>
        </w:rPr>
        <w:t>LPG</w:t>
      </w:r>
      <w:r w:rsidRPr="00F9493B">
        <w:rPr>
          <w:rFonts w:ascii="Century" w:hAnsi="Century"/>
          <w:color w:val="1C1C1C"/>
        </w:rPr>
        <w:tab/>
      </w:r>
      <w:r w:rsidRPr="00F9493B">
        <w:rPr>
          <w:rFonts w:ascii="Century" w:hAnsi="Century"/>
          <w:color w:val="1C1C1C"/>
        </w:rPr>
        <w:tab/>
        <w:t>Liquefied Petroleum Gas</w:t>
      </w:r>
    </w:p>
    <w:p w:rsidR="00A55CF3" w:rsidRPr="00F9493B" w:rsidRDefault="00743166" w:rsidP="00A55CF3">
      <w:pPr>
        <w:rPr>
          <w:rFonts w:ascii="Century" w:hAnsi="Century"/>
          <w:color w:val="1C1C1C"/>
        </w:rPr>
      </w:pPr>
      <w:r w:rsidRPr="00F9493B">
        <w:rPr>
          <w:rFonts w:ascii="Century" w:hAnsi="Century"/>
          <w:color w:val="1C1C1C"/>
        </w:rPr>
        <w:t>T</w:t>
      </w:r>
      <w:r w:rsidR="00A55CF3" w:rsidRPr="00F9493B">
        <w:rPr>
          <w:rFonts w:ascii="Century" w:hAnsi="Century"/>
          <w:color w:val="1C1C1C"/>
        </w:rPr>
        <w:t>ARSIM</w:t>
      </w:r>
      <w:r w:rsidR="00A55CF3" w:rsidRPr="00F9493B">
        <w:rPr>
          <w:rFonts w:ascii="Century" w:hAnsi="Century"/>
          <w:color w:val="1C1C1C"/>
        </w:rPr>
        <w:tab/>
        <w:t>Turkish Agricultural Insurance Pool</w:t>
      </w:r>
    </w:p>
    <w:p w:rsidR="00A55CF3" w:rsidRPr="00F9493B" w:rsidRDefault="00A55CF3" w:rsidP="00A55CF3">
      <w:pPr>
        <w:rPr>
          <w:rFonts w:ascii="Century" w:hAnsi="Century"/>
          <w:color w:val="1C1C1C"/>
        </w:rPr>
      </w:pPr>
      <w:r w:rsidRPr="00F9493B">
        <w:rPr>
          <w:rFonts w:ascii="Century" w:hAnsi="Century"/>
          <w:color w:val="1C1C1C"/>
        </w:rPr>
        <w:t>TCIP</w:t>
      </w:r>
      <w:r w:rsidRPr="00F9493B">
        <w:rPr>
          <w:rFonts w:ascii="Century" w:hAnsi="Century"/>
          <w:color w:val="1C1C1C"/>
        </w:rPr>
        <w:tab/>
      </w:r>
      <w:r w:rsidRPr="00F9493B">
        <w:rPr>
          <w:rFonts w:ascii="Century" w:hAnsi="Century"/>
          <w:color w:val="1C1C1C"/>
        </w:rPr>
        <w:tab/>
        <w:t>Turkish Catastrophe Insurance Pool</w:t>
      </w:r>
    </w:p>
    <w:p w:rsidR="00A55CF3" w:rsidRPr="00F9493B" w:rsidRDefault="00A55CF3" w:rsidP="00A55CF3">
      <w:pPr>
        <w:rPr>
          <w:rFonts w:ascii="Century" w:hAnsi="Century"/>
          <w:color w:val="1C1C1C"/>
        </w:rPr>
      </w:pPr>
      <w:smartTag w:uri="urn:schemas-microsoft-com:office:smarttags" w:element="stockticker">
        <w:r w:rsidRPr="00F9493B">
          <w:rPr>
            <w:rFonts w:ascii="Century" w:hAnsi="Century"/>
            <w:color w:val="1C1C1C"/>
          </w:rPr>
          <w:t>TPL</w:t>
        </w:r>
      </w:smartTag>
      <w:r w:rsidRPr="00F9493B">
        <w:rPr>
          <w:rFonts w:ascii="Century" w:hAnsi="Century"/>
          <w:color w:val="1C1C1C"/>
        </w:rPr>
        <w:tab/>
      </w:r>
      <w:r w:rsidRPr="00F9493B">
        <w:rPr>
          <w:rFonts w:ascii="Century" w:hAnsi="Century"/>
          <w:color w:val="1C1C1C"/>
        </w:rPr>
        <w:tab/>
        <w:t>Third Party Liability</w:t>
      </w:r>
    </w:p>
    <w:p w:rsidR="00A55CF3" w:rsidRPr="00F9493B" w:rsidRDefault="00A55CF3" w:rsidP="00A55CF3">
      <w:pPr>
        <w:rPr>
          <w:rFonts w:ascii="Century" w:hAnsi="Century"/>
          <w:color w:val="1C1C1C"/>
        </w:rPr>
      </w:pPr>
      <w:r w:rsidRPr="00F9493B">
        <w:rPr>
          <w:rFonts w:ascii="Century" w:hAnsi="Century"/>
          <w:color w:val="1C1C1C"/>
        </w:rPr>
        <w:t>TRAMER</w:t>
      </w:r>
      <w:r w:rsidRPr="00F9493B">
        <w:rPr>
          <w:rFonts w:ascii="Century" w:hAnsi="Century"/>
          <w:color w:val="1C1C1C"/>
        </w:rPr>
        <w:tab/>
      </w:r>
      <w:smartTag w:uri="urn:schemas-microsoft-com:office:smarttags" w:element="place">
        <w:smartTag w:uri="urn:schemas-microsoft-com:office:smarttags" w:element="PlaceName">
          <w:r w:rsidRPr="00F9493B">
            <w:rPr>
              <w:rFonts w:ascii="Century" w:hAnsi="Century"/>
              <w:color w:val="1C1C1C"/>
            </w:rPr>
            <w:t>Motor</w:t>
          </w:r>
        </w:smartTag>
        <w:r w:rsidRPr="00F9493B">
          <w:rPr>
            <w:rFonts w:ascii="Century" w:hAnsi="Century"/>
            <w:color w:val="1C1C1C"/>
          </w:rPr>
          <w:t xml:space="preserve"> </w:t>
        </w:r>
        <w:smartTag w:uri="urn:schemas-microsoft-com:office:smarttags" w:element="PlaceName">
          <w:smartTag w:uri="urn:schemas-microsoft-com:office:smarttags" w:element="stockticker">
            <w:r w:rsidRPr="00F9493B">
              <w:rPr>
                <w:rFonts w:ascii="Century" w:hAnsi="Century"/>
                <w:color w:val="1C1C1C"/>
              </w:rPr>
              <w:t>TPL</w:t>
            </w:r>
          </w:smartTag>
        </w:smartTag>
        <w:r w:rsidRPr="00F9493B">
          <w:rPr>
            <w:rFonts w:ascii="Century" w:hAnsi="Century"/>
            <w:color w:val="1C1C1C"/>
          </w:rPr>
          <w:t xml:space="preserve"> </w:t>
        </w:r>
        <w:smartTag w:uri="urn:schemas-microsoft-com:office:smarttags" w:element="PlaceName">
          <w:r w:rsidRPr="00F9493B">
            <w:rPr>
              <w:rFonts w:ascii="Century" w:hAnsi="Century"/>
              <w:color w:val="1C1C1C"/>
            </w:rPr>
            <w:t>Insurance</w:t>
          </w:r>
        </w:smartTag>
        <w:r w:rsidRPr="00F9493B">
          <w:rPr>
            <w:rFonts w:ascii="Century" w:hAnsi="Century"/>
            <w:color w:val="1C1C1C"/>
          </w:rPr>
          <w:t xml:space="preserve"> </w:t>
        </w:r>
        <w:smartTag w:uri="urn:schemas-microsoft-com:office:smarttags" w:element="PlaceName">
          <w:r w:rsidRPr="00F9493B">
            <w:rPr>
              <w:rFonts w:ascii="Century" w:hAnsi="Century"/>
              <w:color w:val="1C1C1C"/>
            </w:rPr>
            <w:t>Information</w:t>
          </w:r>
        </w:smartTag>
        <w:r w:rsidRPr="00F9493B">
          <w:rPr>
            <w:rFonts w:ascii="Century" w:hAnsi="Century"/>
            <w:color w:val="1C1C1C"/>
          </w:rPr>
          <w:t xml:space="preserve"> </w:t>
        </w:r>
        <w:smartTag w:uri="urn:schemas-microsoft-com:office:smarttags" w:element="PlaceType">
          <w:r w:rsidRPr="00F9493B">
            <w:rPr>
              <w:rFonts w:ascii="Century" w:hAnsi="Century"/>
              <w:color w:val="1C1C1C"/>
            </w:rPr>
            <w:t>Center</w:t>
          </w:r>
        </w:smartTag>
      </w:smartTag>
    </w:p>
    <w:p w:rsidR="00743166" w:rsidRPr="00F9493B" w:rsidRDefault="008154AF" w:rsidP="00743166">
      <w:pPr>
        <w:rPr>
          <w:rFonts w:ascii="Century" w:hAnsi="Century"/>
          <w:color w:val="1C1C1C"/>
        </w:rPr>
      </w:pPr>
      <w:r>
        <w:rPr>
          <w:rFonts w:ascii="Century" w:hAnsi="Century"/>
          <w:color w:val="1C1C1C"/>
        </w:rPr>
        <w:t>TSRS</w:t>
      </w:r>
      <w:r w:rsidR="00743166" w:rsidRPr="00F9493B">
        <w:rPr>
          <w:rFonts w:ascii="Century" w:hAnsi="Century"/>
          <w:color w:val="1C1C1C"/>
        </w:rPr>
        <w:t xml:space="preserve">B         </w:t>
      </w:r>
      <w:r>
        <w:rPr>
          <w:rFonts w:ascii="Century" w:hAnsi="Century"/>
          <w:color w:val="1C1C1C"/>
        </w:rPr>
        <w:t xml:space="preserve"> </w:t>
      </w:r>
      <w:r w:rsidR="00743166" w:rsidRPr="00F9493B">
        <w:rPr>
          <w:rFonts w:ascii="Century" w:hAnsi="Century"/>
          <w:color w:val="1C1C1C"/>
        </w:rPr>
        <w:t xml:space="preserve">Association of the Insurance and Reinsurance Companies of </w:t>
      </w:r>
      <w:smartTag w:uri="urn:schemas-microsoft-com:office:smarttags" w:element="place">
        <w:smartTag w:uri="urn:schemas-microsoft-com:office:smarttags" w:element="country-region">
          <w:r w:rsidR="00743166" w:rsidRPr="00F9493B">
            <w:rPr>
              <w:rFonts w:ascii="Century" w:hAnsi="Century"/>
              <w:color w:val="1C1C1C"/>
            </w:rPr>
            <w:t>Turkey</w:t>
          </w:r>
        </w:smartTag>
      </w:smartTag>
    </w:p>
    <w:p w:rsidR="00A55CF3" w:rsidRPr="00F9493B" w:rsidRDefault="007E5DCC" w:rsidP="00A55CF3">
      <w:pPr>
        <w:rPr>
          <w:rFonts w:ascii="Century" w:hAnsi="Century"/>
          <w:color w:val="1C1C1C"/>
        </w:rPr>
      </w:pPr>
      <w:r w:rsidRPr="00F9493B">
        <w:rPr>
          <w:rFonts w:ascii="Century" w:hAnsi="Century"/>
          <w:color w:val="1C1C1C"/>
        </w:rPr>
        <w:t>USD</w:t>
      </w:r>
      <w:r w:rsidRPr="00F9493B">
        <w:rPr>
          <w:rFonts w:ascii="Century" w:hAnsi="Century"/>
          <w:color w:val="1C1C1C"/>
        </w:rPr>
        <w:tab/>
      </w:r>
      <w:r w:rsidRPr="00F9493B">
        <w:rPr>
          <w:rFonts w:ascii="Century" w:hAnsi="Century"/>
          <w:color w:val="1C1C1C"/>
        </w:rPr>
        <w:tab/>
      </w:r>
      <w:smartTag w:uri="urn:schemas-microsoft-com:office:smarttags" w:element="place">
        <w:smartTag w:uri="urn:schemas-microsoft-com:office:smarttags" w:element="country-region">
          <w:r w:rsidRPr="00F9493B">
            <w:rPr>
              <w:rFonts w:ascii="Century" w:hAnsi="Century"/>
              <w:color w:val="1C1C1C"/>
            </w:rPr>
            <w:t>United States</w:t>
          </w:r>
        </w:smartTag>
      </w:smartTag>
      <w:r w:rsidRPr="00F9493B">
        <w:rPr>
          <w:rFonts w:ascii="Century" w:hAnsi="Century"/>
          <w:color w:val="1C1C1C"/>
        </w:rPr>
        <w:t xml:space="preserve"> Dollars</w:t>
      </w:r>
    </w:p>
    <w:p w:rsidR="00273649" w:rsidRPr="00F9493B" w:rsidRDefault="00A55CF3" w:rsidP="008D17FE">
      <w:pPr>
        <w:rPr>
          <w:rFonts w:ascii="Century" w:hAnsi="Century"/>
          <w:lang w:val="tr-TR"/>
        </w:rPr>
      </w:pPr>
      <w:r w:rsidRPr="00F9493B">
        <w:rPr>
          <w:rFonts w:ascii="Century" w:hAnsi="Century"/>
          <w:color w:val="1C1C1C"/>
        </w:rPr>
        <w:t>YTL</w:t>
      </w:r>
      <w:r w:rsidRPr="00F9493B">
        <w:rPr>
          <w:rFonts w:ascii="Century" w:hAnsi="Century"/>
          <w:color w:val="1C1C1C"/>
        </w:rPr>
        <w:tab/>
      </w:r>
      <w:r w:rsidRPr="00F9493B">
        <w:rPr>
          <w:rFonts w:ascii="Century" w:hAnsi="Century"/>
          <w:color w:val="1C1C1C"/>
        </w:rPr>
        <w:tab/>
        <w:t>New Turkish Lira</w:t>
      </w:r>
    </w:p>
    <w:p w:rsidR="00273649" w:rsidRPr="00F9493B" w:rsidRDefault="00273649" w:rsidP="008D17FE">
      <w:pPr>
        <w:rPr>
          <w:rFonts w:ascii="Century" w:hAnsi="Century"/>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273649" w:rsidP="008D17FE">
      <w:pPr>
        <w:rPr>
          <w:rFonts w:ascii="Century" w:hAnsi="Century"/>
          <w:highlight w:val="yellow"/>
          <w:lang w:val="tr-TR"/>
        </w:rPr>
      </w:pPr>
    </w:p>
    <w:p w:rsidR="00273649" w:rsidRPr="00367FA3" w:rsidRDefault="00CA2BD3" w:rsidP="008D17FE">
      <w:pPr>
        <w:rPr>
          <w:rFonts w:ascii="Century" w:hAnsi="Century"/>
          <w:highlight w:val="yellow"/>
          <w:lang w:val="tr-TR"/>
        </w:rPr>
        <w:sectPr w:rsidR="00273649" w:rsidRPr="00367FA3" w:rsidSect="00A55CF3">
          <w:pgSz w:w="11906" w:h="16838"/>
          <w:pgMar w:top="1440" w:right="926" w:bottom="1440" w:left="1440" w:header="708" w:footer="708" w:gutter="0"/>
          <w:pgNumType w:fmt="lowerRoman" w:start="1"/>
          <w:cols w:space="708"/>
          <w:titlePg/>
          <w:docGrid w:linePitch="360"/>
        </w:sectPr>
      </w:pPr>
      <w:r w:rsidRPr="00367FA3">
        <w:rPr>
          <w:rFonts w:ascii="Century" w:hAnsi="Century"/>
          <w:highlight w:val="yellow"/>
          <w:lang w:val="tr-TR"/>
        </w:rPr>
        <w:br w:type="page"/>
      </w:r>
    </w:p>
    <w:tbl>
      <w:tblPr>
        <w:tblW w:w="9855" w:type="dxa"/>
        <w:tblInd w:w="-252" w:type="dxa"/>
        <w:tblLayout w:type="fixed"/>
        <w:tblLook w:val="04A0" w:firstRow="1" w:lastRow="0" w:firstColumn="1" w:lastColumn="0" w:noHBand="0" w:noVBand="1"/>
      </w:tblPr>
      <w:tblGrid>
        <w:gridCol w:w="236"/>
        <w:gridCol w:w="4579"/>
        <w:gridCol w:w="225"/>
        <w:gridCol w:w="11"/>
        <w:gridCol w:w="4804"/>
      </w:tblGrid>
      <w:tr w:rsidR="001700F0" w:rsidRPr="00367FA3">
        <w:tc>
          <w:tcPr>
            <w:tcW w:w="4815" w:type="dxa"/>
            <w:gridSpan w:val="2"/>
          </w:tcPr>
          <w:p w:rsidR="00143F61" w:rsidRPr="00367FA3" w:rsidRDefault="00143F61" w:rsidP="00143F61">
            <w:pPr>
              <w:pStyle w:val="Style2"/>
              <w:numPr>
                <w:ilvl w:val="0"/>
                <w:numId w:val="0"/>
              </w:numPr>
              <w:spacing w:before="0" w:after="0"/>
              <w:ind w:left="91"/>
              <w:rPr>
                <w:highlight w:val="yellow"/>
              </w:rPr>
            </w:pPr>
            <w:bookmarkStart w:id="1" w:name="_Toc170253082"/>
          </w:p>
          <w:p w:rsidR="00143F61" w:rsidRPr="00367FA3" w:rsidRDefault="00143F61" w:rsidP="00143F61">
            <w:pPr>
              <w:pStyle w:val="Style2"/>
              <w:numPr>
                <w:ilvl w:val="0"/>
                <w:numId w:val="0"/>
              </w:numPr>
              <w:spacing w:before="0" w:after="0"/>
              <w:ind w:left="91"/>
              <w:rPr>
                <w:highlight w:val="yellow"/>
              </w:rPr>
            </w:pPr>
          </w:p>
          <w:p w:rsidR="00143F61" w:rsidRPr="00367FA3" w:rsidRDefault="00143F61" w:rsidP="00143F61">
            <w:pPr>
              <w:pStyle w:val="Style2"/>
              <w:numPr>
                <w:ilvl w:val="0"/>
                <w:numId w:val="0"/>
              </w:numPr>
              <w:spacing w:before="0" w:after="0"/>
              <w:ind w:left="91"/>
              <w:rPr>
                <w:highlight w:val="yellow"/>
              </w:rPr>
            </w:pPr>
          </w:p>
          <w:p w:rsidR="00143F61" w:rsidRPr="00367FA3" w:rsidRDefault="00143F61" w:rsidP="00143F61">
            <w:pPr>
              <w:pStyle w:val="Style2"/>
              <w:numPr>
                <w:ilvl w:val="0"/>
                <w:numId w:val="0"/>
              </w:numPr>
              <w:spacing w:before="0" w:after="0"/>
              <w:ind w:left="91"/>
              <w:rPr>
                <w:highlight w:val="yellow"/>
              </w:rPr>
            </w:pPr>
          </w:p>
          <w:p w:rsidR="00143F61" w:rsidRPr="00367FA3" w:rsidRDefault="00143F61" w:rsidP="00143F61">
            <w:pPr>
              <w:pStyle w:val="Style2"/>
              <w:numPr>
                <w:ilvl w:val="0"/>
                <w:numId w:val="0"/>
              </w:numPr>
              <w:spacing w:before="0" w:after="0"/>
              <w:ind w:left="91"/>
              <w:rPr>
                <w:highlight w:val="yellow"/>
              </w:rPr>
            </w:pPr>
          </w:p>
          <w:p w:rsidR="007B7F0D" w:rsidRPr="001C5D31" w:rsidRDefault="00143F61" w:rsidP="003F1E9F">
            <w:pPr>
              <w:pStyle w:val="Style2"/>
              <w:numPr>
                <w:ilvl w:val="0"/>
                <w:numId w:val="9"/>
              </w:numPr>
              <w:spacing w:before="0" w:after="0"/>
            </w:pPr>
            <w:bookmarkStart w:id="2" w:name="_Toc198287688"/>
            <w:bookmarkStart w:id="3" w:name="_Toc199251234"/>
            <w:r w:rsidRPr="001C5D31">
              <w:t xml:space="preserve">TÜRKİYE’DE  </w:t>
            </w:r>
            <w:r w:rsidR="007B7F0D" w:rsidRPr="001C5D31">
              <w:t>S</w:t>
            </w:r>
            <w:r w:rsidR="00715B35" w:rsidRPr="001C5D31">
              <w:t>İGORTA</w:t>
            </w:r>
            <w:r w:rsidR="00F967AF" w:rsidRPr="001C5D31">
              <w:t>CILIK</w:t>
            </w:r>
            <w:r w:rsidR="00715B35" w:rsidRPr="001C5D31">
              <w:t xml:space="preserve"> </w:t>
            </w:r>
            <w:r w:rsidR="007B7F0D" w:rsidRPr="001C5D31">
              <w:t>ve B</w:t>
            </w:r>
            <w:r w:rsidR="00715B35" w:rsidRPr="001C5D31">
              <w:t xml:space="preserve">İREYSEL </w:t>
            </w:r>
            <w:r w:rsidR="007B7F0D" w:rsidRPr="001C5D31">
              <w:t>E</w:t>
            </w:r>
            <w:r w:rsidR="00715B35" w:rsidRPr="001C5D31">
              <w:t xml:space="preserve">MEKLİLİK </w:t>
            </w:r>
            <w:r w:rsidR="007B7F0D" w:rsidRPr="001C5D31">
              <w:t>S</w:t>
            </w:r>
            <w:r w:rsidR="00715B35" w:rsidRPr="001C5D31">
              <w:t>EKTÖRÜ</w:t>
            </w:r>
            <w:bookmarkEnd w:id="1"/>
            <w:bookmarkEnd w:id="2"/>
            <w:bookmarkEnd w:id="3"/>
          </w:p>
          <w:p w:rsidR="00143F61" w:rsidRPr="001C5D31" w:rsidRDefault="00143F61" w:rsidP="00143F61">
            <w:pPr>
              <w:pStyle w:val="Style2"/>
              <w:numPr>
                <w:ilvl w:val="0"/>
                <w:numId w:val="0"/>
              </w:numPr>
              <w:spacing w:before="0" w:after="0"/>
              <w:ind w:left="91"/>
            </w:pPr>
          </w:p>
          <w:p w:rsidR="007B7F0D" w:rsidRPr="001C5D31" w:rsidRDefault="007B7F0D" w:rsidP="00F967AF">
            <w:pPr>
              <w:pStyle w:val="Balk2"/>
              <w:ind w:left="91"/>
              <w:jc w:val="both"/>
              <w:rPr>
                <w:rFonts w:ascii="Century" w:hAnsi="Century"/>
                <w:i w:val="0"/>
                <w:sz w:val="24"/>
                <w:szCs w:val="24"/>
                <w:lang w:val="tr-TR"/>
              </w:rPr>
            </w:pPr>
            <w:bookmarkStart w:id="4" w:name="_Toc170253083"/>
            <w:bookmarkStart w:id="5" w:name="_Toc198287689"/>
            <w:bookmarkStart w:id="6" w:name="_Toc199251235"/>
            <w:r w:rsidRPr="001C5D31">
              <w:rPr>
                <w:rFonts w:ascii="Century" w:hAnsi="Century"/>
                <w:i w:val="0"/>
                <w:sz w:val="24"/>
                <w:szCs w:val="24"/>
                <w:lang w:val="tr-TR"/>
              </w:rPr>
              <w:t>Dünya</w:t>
            </w:r>
            <w:r w:rsidR="00F967AF" w:rsidRPr="001C5D31">
              <w:rPr>
                <w:rFonts w:ascii="Century" w:hAnsi="Century"/>
                <w:i w:val="0"/>
                <w:sz w:val="24"/>
                <w:szCs w:val="24"/>
                <w:lang w:val="tr-TR"/>
              </w:rPr>
              <w:t>’da Sigortacılık ve Türk</w:t>
            </w:r>
            <w:r w:rsidRPr="001C5D31">
              <w:rPr>
                <w:rFonts w:ascii="Century" w:hAnsi="Century"/>
                <w:i w:val="0"/>
                <w:sz w:val="24"/>
                <w:szCs w:val="24"/>
                <w:lang w:val="tr-TR"/>
              </w:rPr>
              <w:t xml:space="preserve"> Sigortacılığın</w:t>
            </w:r>
            <w:r w:rsidR="00F967AF" w:rsidRPr="001C5D31">
              <w:rPr>
                <w:rFonts w:ascii="Century" w:hAnsi="Century"/>
                <w:i w:val="0"/>
                <w:sz w:val="24"/>
                <w:szCs w:val="24"/>
                <w:lang w:val="tr-TR"/>
              </w:rPr>
              <w:t>ın</w:t>
            </w:r>
            <w:r w:rsidRPr="001C5D31">
              <w:rPr>
                <w:rFonts w:ascii="Century" w:hAnsi="Century"/>
                <w:i w:val="0"/>
                <w:sz w:val="24"/>
                <w:szCs w:val="24"/>
                <w:lang w:val="tr-TR"/>
              </w:rPr>
              <w:t xml:space="preserve"> Yeri</w:t>
            </w:r>
            <w:bookmarkEnd w:id="4"/>
            <w:bookmarkEnd w:id="5"/>
            <w:bookmarkEnd w:id="6"/>
          </w:p>
          <w:p w:rsidR="007B7F0D" w:rsidRPr="00367FA3" w:rsidRDefault="007B7F0D" w:rsidP="008D17FE">
            <w:pPr>
              <w:jc w:val="both"/>
              <w:rPr>
                <w:rFonts w:ascii="Century" w:hAnsi="Century"/>
                <w:highlight w:val="yellow"/>
                <w:lang w:val="tr-TR"/>
              </w:rPr>
            </w:pPr>
          </w:p>
          <w:p w:rsidR="007B7F0D" w:rsidRPr="001C5D31" w:rsidRDefault="001100DC" w:rsidP="008D17FE">
            <w:pPr>
              <w:jc w:val="both"/>
              <w:rPr>
                <w:rFonts w:ascii="Century" w:hAnsi="Century"/>
                <w:lang w:val="tr-TR"/>
              </w:rPr>
            </w:pPr>
            <w:r w:rsidRPr="001C5D31">
              <w:rPr>
                <w:rFonts w:ascii="Century" w:hAnsi="Century"/>
                <w:lang w:val="tr-TR"/>
              </w:rPr>
              <w:t xml:space="preserve">Sigortacılık piyasasında </w:t>
            </w:r>
            <w:r w:rsidR="00D678A8" w:rsidRPr="001C5D31">
              <w:rPr>
                <w:rFonts w:ascii="Century" w:hAnsi="Century"/>
                <w:lang w:val="tr-TR"/>
              </w:rPr>
              <w:t>2006</w:t>
            </w:r>
            <w:r w:rsidR="007B7F0D" w:rsidRPr="001C5D31">
              <w:rPr>
                <w:rFonts w:ascii="Century" w:hAnsi="Century"/>
                <w:lang w:val="tr-TR"/>
              </w:rPr>
              <w:t xml:space="preserve"> yılında dünya</w:t>
            </w:r>
            <w:r w:rsidRPr="001C5D31">
              <w:rPr>
                <w:rFonts w:ascii="Century" w:hAnsi="Century"/>
                <w:lang w:val="tr-TR"/>
              </w:rPr>
              <w:t>da toplam</w:t>
            </w:r>
            <w:r w:rsidR="007B7F0D" w:rsidRPr="001C5D31">
              <w:rPr>
                <w:rFonts w:ascii="Century" w:hAnsi="Century"/>
                <w:lang w:val="tr-TR"/>
              </w:rPr>
              <w:t xml:space="preserve"> </w:t>
            </w:r>
            <w:r w:rsidR="00D678A8" w:rsidRPr="001C5D31">
              <w:rPr>
                <w:rFonts w:ascii="Century" w:hAnsi="Century"/>
                <w:lang w:val="tr-TR"/>
              </w:rPr>
              <w:t>3.723</w:t>
            </w:r>
            <w:r w:rsidR="00566DD3" w:rsidRPr="001C5D31">
              <w:rPr>
                <w:rFonts w:ascii="Century" w:hAnsi="Century"/>
                <w:lang w:val="tr-TR"/>
              </w:rPr>
              <w:t xml:space="preserve"> milyar </w:t>
            </w:r>
            <w:r w:rsidR="0042127E" w:rsidRPr="001C5D31">
              <w:rPr>
                <w:rFonts w:ascii="Century" w:hAnsi="Century"/>
                <w:lang w:val="tr-TR"/>
              </w:rPr>
              <w:t>ABD doları</w:t>
            </w:r>
            <w:r w:rsidR="00566DD3" w:rsidRPr="001C5D31">
              <w:rPr>
                <w:rFonts w:ascii="Century" w:hAnsi="Century"/>
                <w:lang w:val="tr-TR"/>
              </w:rPr>
              <w:t xml:space="preserve"> </w:t>
            </w:r>
            <w:r w:rsidR="00357B39">
              <w:rPr>
                <w:rFonts w:ascii="Century" w:hAnsi="Century"/>
                <w:lang w:val="tr-TR"/>
              </w:rPr>
              <w:t xml:space="preserve">tutarında </w:t>
            </w:r>
            <w:r w:rsidR="0042127E" w:rsidRPr="001C5D31">
              <w:rPr>
                <w:rFonts w:ascii="Century" w:hAnsi="Century"/>
                <w:lang w:val="tr-TR"/>
              </w:rPr>
              <w:t>prim üretimi gerçekleştiril</w:t>
            </w:r>
            <w:r w:rsidR="00357B39">
              <w:rPr>
                <w:rFonts w:ascii="Century" w:hAnsi="Century"/>
                <w:lang w:val="tr-TR"/>
              </w:rPr>
              <w:t>-</w:t>
            </w:r>
            <w:r w:rsidR="0042127E" w:rsidRPr="001C5D31">
              <w:rPr>
                <w:rFonts w:ascii="Century" w:hAnsi="Century"/>
                <w:lang w:val="tr-TR"/>
              </w:rPr>
              <w:t>miştir.</w:t>
            </w:r>
            <w:r w:rsidR="007B7F0D" w:rsidRPr="001C5D31">
              <w:rPr>
                <w:rFonts w:ascii="Century" w:hAnsi="Century"/>
                <w:lang w:val="tr-TR"/>
              </w:rPr>
              <w:t xml:space="preserve"> </w:t>
            </w:r>
            <w:r w:rsidRPr="001C5D31">
              <w:rPr>
                <w:rFonts w:ascii="Century" w:hAnsi="Century"/>
                <w:lang w:val="tr-TR"/>
              </w:rPr>
              <w:t xml:space="preserve">Prim üretimi </w:t>
            </w:r>
            <w:r w:rsidR="00F967AF" w:rsidRPr="001C5D31">
              <w:rPr>
                <w:rFonts w:ascii="Century" w:hAnsi="Century"/>
                <w:lang w:val="tr-TR"/>
              </w:rPr>
              <w:t>bir önceki yıla göre</w:t>
            </w:r>
            <w:r w:rsidR="001C5D31" w:rsidRPr="001C5D31">
              <w:rPr>
                <w:rFonts w:ascii="Century" w:hAnsi="Century"/>
                <w:lang w:val="tr-TR"/>
              </w:rPr>
              <w:t xml:space="preserve"> reel olarak</w:t>
            </w:r>
            <w:r w:rsidR="00F967AF" w:rsidRPr="001C5D31">
              <w:rPr>
                <w:rFonts w:ascii="Century" w:hAnsi="Century"/>
                <w:lang w:val="tr-TR"/>
              </w:rPr>
              <w:t xml:space="preserve"> </w:t>
            </w:r>
            <w:r w:rsidRPr="001C5D31">
              <w:rPr>
                <w:rFonts w:ascii="Century" w:hAnsi="Century"/>
                <w:lang w:val="tr-TR"/>
              </w:rPr>
              <w:t>h</w:t>
            </w:r>
            <w:r w:rsidR="00566DD3" w:rsidRPr="001C5D31">
              <w:rPr>
                <w:rFonts w:ascii="Century" w:hAnsi="Century"/>
                <w:lang w:val="tr-TR"/>
              </w:rPr>
              <w:t>ayat branşı</w:t>
            </w:r>
            <w:r w:rsidRPr="001C5D31">
              <w:rPr>
                <w:rFonts w:ascii="Century" w:hAnsi="Century"/>
                <w:lang w:val="tr-TR"/>
              </w:rPr>
              <w:t>nda</w:t>
            </w:r>
            <w:r w:rsidR="00566DD3" w:rsidRPr="001C5D31">
              <w:rPr>
                <w:rFonts w:ascii="Century" w:hAnsi="Century"/>
                <w:lang w:val="tr-TR"/>
              </w:rPr>
              <w:t xml:space="preserve"> </w:t>
            </w:r>
            <w:r w:rsidR="007B7F0D" w:rsidRPr="001C5D31">
              <w:rPr>
                <w:rFonts w:ascii="Century" w:hAnsi="Century"/>
                <w:lang w:val="tr-TR"/>
              </w:rPr>
              <w:t>%</w:t>
            </w:r>
            <w:r w:rsidR="001C5D31" w:rsidRPr="001C5D31">
              <w:rPr>
                <w:rFonts w:ascii="Century" w:hAnsi="Century"/>
                <w:lang w:val="tr-TR"/>
              </w:rPr>
              <w:t xml:space="preserve">7,7, </w:t>
            </w:r>
            <w:r w:rsidR="0042127E" w:rsidRPr="001C5D31">
              <w:rPr>
                <w:rFonts w:ascii="Century" w:hAnsi="Century"/>
                <w:lang w:val="tr-TR"/>
              </w:rPr>
              <w:t>hayat dışı branşlarda</w:t>
            </w:r>
            <w:r w:rsidR="00140F46" w:rsidRPr="001C5D31">
              <w:rPr>
                <w:rFonts w:ascii="Century" w:hAnsi="Century"/>
                <w:lang w:val="tr-TR"/>
              </w:rPr>
              <w:t xml:space="preserve"> ise</w:t>
            </w:r>
            <w:r w:rsidR="00F967AF" w:rsidRPr="001C5D31">
              <w:rPr>
                <w:rFonts w:ascii="Century" w:hAnsi="Century"/>
                <w:lang w:val="tr-TR"/>
              </w:rPr>
              <w:t xml:space="preserve"> </w:t>
            </w:r>
            <w:r w:rsidRPr="001C5D31">
              <w:rPr>
                <w:rFonts w:ascii="Century" w:hAnsi="Century"/>
                <w:lang w:val="tr-TR"/>
              </w:rPr>
              <w:t>%</w:t>
            </w:r>
            <w:r w:rsidR="001C5D31" w:rsidRPr="001C5D31">
              <w:rPr>
                <w:rFonts w:ascii="Century" w:hAnsi="Century"/>
                <w:lang w:val="tr-TR"/>
              </w:rPr>
              <w:t>1,5</w:t>
            </w:r>
            <w:r w:rsidRPr="001C5D31">
              <w:rPr>
                <w:rFonts w:ascii="Century" w:hAnsi="Century"/>
                <w:lang w:val="tr-TR"/>
              </w:rPr>
              <w:t xml:space="preserve"> oranında </w:t>
            </w:r>
            <w:r w:rsidR="007B7F0D" w:rsidRPr="001C5D31">
              <w:rPr>
                <w:rFonts w:ascii="Century" w:hAnsi="Century"/>
                <w:lang w:val="tr-TR"/>
              </w:rPr>
              <w:t xml:space="preserve"> artarak</w:t>
            </w:r>
            <w:r w:rsidR="0042127E" w:rsidRPr="001C5D31">
              <w:rPr>
                <w:rFonts w:ascii="Century" w:hAnsi="Century"/>
                <w:lang w:val="tr-TR"/>
              </w:rPr>
              <w:t>,</w:t>
            </w:r>
            <w:r w:rsidR="007B7F0D" w:rsidRPr="001C5D31">
              <w:rPr>
                <w:rFonts w:ascii="Century" w:hAnsi="Century"/>
                <w:lang w:val="tr-TR"/>
              </w:rPr>
              <w:t xml:space="preserve"> </w:t>
            </w:r>
            <w:r w:rsidR="001C5D31" w:rsidRPr="001C5D31">
              <w:rPr>
                <w:rFonts w:ascii="Century" w:hAnsi="Century"/>
                <w:lang w:val="tr-TR"/>
              </w:rPr>
              <w:t>sırasıyla 2.209</w:t>
            </w:r>
            <w:r w:rsidR="007B7F0D" w:rsidRPr="001C5D31">
              <w:rPr>
                <w:rFonts w:ascii="Century" w:hAnsi="Century"/>
                <w:lang w:val="tr-TR"/>
              </w:rPr>
              <w:t xml:space="preserve"> milyar</w:t>
            </w:r>
            <w:r w:rsidRPr="001C5D31">
              <w:rPr>
                <w:rFonts w:ascii="Century" w:hAnsi="Century"/>
                <w:lang w:val="tr-TR"/>
              </w:rPr>
              <w:t xml:space="preserve"> ve</w:t>
            </w:r>
            <w:r w:rsidR="007B7F0D" w:rsidRPr="001C5D31">
              <w:rPr>
                <w:rFonts w:ascii="Century" w:hAnsi="Century"/>
                <w:lang w:val="tr-TR"/>
              </w:rPr>
              <w:t xml:space="preserve"> 1.</w:t>
            </w:r>
            <w:r w:rsidR="001C5D31" w:rsidRPr="001C5D31">
              <w:rPr>
                <w:rFonts w:ascii="Century" w:hAnsi="Century"/>
                <w:lang w:val="tr-TR"/>
              </w:rPr>
              <w:t>514</w:t>
            </w:r>
            <w:r w:rsidR="007B7F0D" w:rsidRPr="001C5D31">
              <w:rPr>
                <w:rFonts w:ascii="Century" w:hAnsi="Century"/>
                <w:lang w:val="tr-TR"/>
              </w:rPr>
              <w:t xml:space="preserve"> milyar </w:t>
            </w:r>
            <w:r w:rsidRPr="001C5D31">
              <w:rPr>
                <w:rFonts w:ascii="Century" w:hAnsi="Century"/>
                <w:lang w:val="tr-TR"/>
              </w:rPr>
              <w:t xml:space="preserve">ABD </w:t>
            </w:r>
            <w:r w:rsidR="007B7F0D" w:rsidRPr="001C5D31">
              <w:rPr>
                <w:rFonts w:ascii="Century" w:hAnsi="Century"/>
                <w:lang w:val="tr-TR"/>
              </w:rPr>
              <w:t>dolar</w:t>
            </w:r>
            <w:r w:rsidRPr="001C5D31">
              <w:rPr>
                <w:rFonts w:ascii="Century" w:hAnsi="Century"/>
                <w:lang w:val="tr-TR"/>
              </w:rPr>
              <w:t>ın</w:t>
            </w:r>
            <w:r w:rsidR="007B7F0D" w:rsidRPr="001C5D31">
              <w:rPr>
                <w:rFonts w:ascii="Century" w:hAnsi="Century"/>
                <w:lang w:val="tr-TR"/>
              </w:rPr>
              <w:t xml:space="preserve">a ulaşmıştır. </w:t>
            </w:r>
          </w:p>
          <w:p w:rsidR="00994F98" w:rsidRPr="00367FA3" w:rsidRDefault="00994F98" w:rsidP="008D17FE">
            <w:pPr>
              <w:rPr>
                <w:rFonts w:ascii="Century" w:hAnsi="Century"/>
                <w:highlight w:val="yellow"/>
                <w:lang w:val="tr-TR"/>
              </w:rPr>
            </w:pPr>
          </w:p>
        </w:tc>
        <w:tc>
          <w:tcPr>
            <w:tcW w:w="236" w:type="dxa"/>
            <w:gridSpan w:val="2"/>
          </w:tcPr>
          <w:p w:rsidR="001700F0" w:rsidRPr="00367FA3" w:rsidRDefault="001700F0" w:rsidP="008D17FE">
            <w:pPr>
              <w:rPr>
                <w:rFonts w:ascii="Century" w:hAnsi="Century"/>
                <w:highlight w:val="yellow"/>
                <w:lang w:val="tr-TR"/>
              </w:rPr>
            </w:pPr>
          </w:p>
        </w:tc>
        <w:tc>
          <w:tcPr>
            <w:tcW w:w="4804" w:type="dxa"/>
          </w:tcPr>
          <w:p w:rsidR="00143F61" w:rsidRPr="00C43A16" w:rsidRDefault="00143F61" w:rsidP="0073579A">
            <w:pPr>
              <w:ind w:left="91"/>
              <w:rPr>
                <w:rFonts w:ascii="Century" w:hAnsi="Century"/>
                <w:b/>
                <w:color w:val="999999"/>
                <w:highlight w:val="yellow"/>
                <w:lang w:val="tr-TR"/>
              </w:rPr>
            </w:pPr>
          </w:p>
          <w:p w:rsidR="00143F61" w:rsidRPr="00C43A16" w:rsidRDefault="00143F61" w:rsidP="0073579A">
            <w:pPr>
              <w:ind w:left="91"/>
              <w:rPr>
                <w:rFonts w:ascii="Century" w:hAnsi="Century"/>
                <w:b/>
                <w:color w:val="999999"/>
                <w:highlight w:val="yellow"/>
                <w:lang w:val="tr-TR"/>
              </w:rPr>
            </w:pPr>
          </w:p>
          <w:p w:rsidR="00143F61" w:rsidRPr="00C43A16" w:rsidRDefault="00143F61" w:rsidP="0073579A">
            <w:pPr>
              <w:ind w:left="91"/>
              <w:rPr>
                <w:rFonts w:ascii="Century" w:hAnsi="Century"/>
                <w:b/>
                <w:color w:val="999999"/>
                <w:highlight w:val="yellow"/>
                <w:lang w:val="tr-TR"/>
              </w:rPr>
            </w:pPr>
          </w:p>
          <w:p w:rsidR="00143F61" w:rsidRPr="00C43A16" w:rsidRDefault="00143F61" w:rsidP="0073579A">
            <w:pPr>
              <w:ind w:left="91"/>
              <w:rPr>
                <w:rFonts w:ascii="Century" w:hAnsi="Century"/>
                <w:b/>
                <w:color w:val="999999"/>
                <w:highlight w:val="yellow"/>
                <w:lang w:val="tr-TR"/>
              </w:rPr>
            </w:pPr>
          </w:p>
          <w:p w:rsidR="00143F61" w:rsidRPr="00C43A16" w:rsidRDefault="00143F61" w:rsidP="0073579A">
            <w:pPr>
              <w:ind w:left="91"/>
              <w:rPr>
                <w:rFonts w:ascii="Century" w:hAnsi="Century"/>
                <w:b/>
                <w:color w:val="808080"/>
                <w:highlight w:val="yellow"/>
                <w:lang w:val="tr-TR"/>
              </w:rPr>
            </w:pPr>
          </w:p>
          <w:p w:rsidR="00EB7463" w:rsidRPr="00CF3FF2" w:rsidRDefault="00143F61" w:rsidP="003F1E9F">
            <w:pPr>
              <w:ind w:left="91"/>
              <w:jc w:val="both"/>
              <w:rPr>
                <w:rFonts w:ascii="Century" w:hAnsi="Century"/>
                <w:b/>
                <w:color w:val="404040"/>
              </w:rPr>
            </w:pPr>
            <w:r w:rsidRPr="00CF3FF2">
              <w:rPr>
                <w:rFonts w:ascii="Century" w:hAnsi="Century"/>
                <w:b/>
                <w:color w:val="404040"/>
              </w:rPr>
              <w:t>1</w:t>
            </w:r>
            <w:r w:rsidR="00F967AF" w:rsidRPr="00CF3FF2">
              <w:rPr>
                <w:rFonts w:ascii="Century" w:hAnsi="Century"/>
                <w:b/>
                <w:color w:val="404040"/>
              </w:rPr>
              <w:t xml:space="preserve">. </w:t>
            </w:r>
            <w:r w:rsidR="00752D5D" w:rsidRPr="00CF3FF2">
              <w:rPr>
                <w:rFonts w:ascii="Century" w:hAnsi="Century"/>
                <w:b/>
                <w:color w:val="404040"/>
              </w:rPr>
              <w:t>INSURANCE and PRI</w:t>
            </w:r>
            <w:r w:rsidR="0073579A" w:rsidRPr="00CF3FF2">
              <w:rPr>
                <w:rFonts w:ascii="Century" w:hAnsi="Century"/>
                <w:b/>
                <w:color w:val="404040"/>
              </w:rPr>
              <w:t>VATE PENSION SECTOR</w:t>
            </w:r>
            <w:r w:rsidRPr="00CF3FF2">
              <w:rPr>
                <w:rFonts w:ascii="Century" w:hAnsi="Century"/>
                <w:b/>
                <w:color w:val="404040"/>
              </w:rPr>
              <w:t xml:space="preserve"> in </w:t>
            </w:r>
            <w:smartTag w:uri="urn:schemas-microsoft-com:office:smarttags" w:element="place">
              <w:smartTag w:uri="urn:schemas-microsoft-com:office:smarttags" w:element="country-region">
                <w:r w:rsidRPr="00CF3FF2">
                  <w:rPr>
                    <w:rFonts w:ascii="Century" w:hAnsi="Century"/>
                    <w:b/>
                    <w:color w:val="404040"/>
                  </w:rPr>
                  <w:t>TURKEY</w:t>
                </w:r>
              </w:smartTag>
            </w:smartTag>
          </w:p>
          <w:p w:rsidR="0073579A" w:rsidRPr="00CF3FF2" w:rsidRDefault="0073579A" w:rsidP="0073579A">
            <w:pPr>
              <w:ind w:left="91"/>
              <w:rPr>
                <w:rFonts w:ascii="Century" w:hAnsi="Century"/>
                <w:b/>
                <w:color w:val="404040"/>
              </w:rPr>
            </w:pPr>
          </w:p>
          <w:p w:rsidR="00143F61" w:rsidRPr="00CF3FF2" w:rsidRDefault="00143F61" w:rsidP="0073579A">
            <w:pPr>
              <w:ind w:left="91"/>
              <w:rPr>
                <w:rFonts w:ascii="Century" w:hAnsi="Century"/>
                <w:b/>
                <w:color w:val="404040"/>
              </w:rPr>
            </w:pPr>
          </w:p>
          <w:p w:rsidR="0073579A" w:rsidRPr="00CF3FF2" w:rsidRDefault="00143F61" w:rsidP="003F1E9F">
            <w:pPr>
              <w:ind w:left="91"/>
              <w:rPr>
                <w:rFonts w:ascii="Century" w:hAnsi="Century"/>
                <w:b/>
                <w:color w:val="404040"/>
              </w:rPr>
            </w:pPr>
            <w:r w:rsidRPr="00CF3FF2">
              <w:rPr>
                <w:rFonts w:ascii="Century" w:hAnsi="Century"/>
                <w:b/>
                <w:color w:val="404040"/>
              </w:rPr>
              <w:t>1</w:t>
            </w:r>
            <w:r w:rsidR="0073579A" w:rsidRPr="00CF3FF2">
              <w:rPr>
                <w:rFonts w:ascii="Century" w:hAnsi="Century"/>
                <w:b/>
                <w:color w:val="404040"/>
              </w:rPr>
              <w:t>.1. Global Insurance Sector</w:t>
            </w:r>
          </w:p>
          <w:p w:rsidR="0073579A" w:rsidRPr="00CF3FF2" w:rsidRDefault="0073579A" w:rsidP="00EB7463">
            <w:pPr>
              <w:ind w:right="-108"/>
              <w:jc w:val="both"/>
              <w:rPr>
                <w:rFonts w:ascii="Century" w:hAnsi="Century"/>
                <w:color w:val="404040"/>
                <w:highlight w:val="yellow"/>
              </w:rPr>
            </w:pPr>
          </w:p>
          <w:p w:rsidR="002168BE" w:rsidRPr="00CF3FF2" w:rsidRDefault="002168BE" w:rsidP="00EB7463">
            <w:pPr>
              <w:jc w:val="both"/>
              <w:rPr>
                <w:rFonts w:ascii="Century" w:hAnsi="Century"/>
                <w:color w:val="404040"/>
                <w:highlight w:val="yellow"/>
              </w:rPr>
            </w:pPr>
          </w:p>
          <w:p w:rsidR="00EB7463" w:rsidRPr="00CF3FF2" w:rsidRDefault="001C5D31" w:rsidP="00EB7463">
            <w:pPr>
              <w:jc w:val="both"/>
              <w:rPr>
                <w:rFonts w:ascii="Century" w:hAnsi="Century"/>
                <w:color w:val="404040"/>
              </w:rPr>
            </w:pPr>
            <w:r w:rsidRPr="00CF3FF2">
              <w:rPr>
                <w:rFonts w:ascii="Century" w:hAnsi="Century"/>
                <w:color w:val="404040"/>
              </w:rPr>
              <w:t>In 2006</w:t>
            </w:r>
            <w:r w:rsidR="00EB7463" w:rsidRPr="00CF3FF2">
              <w:rPr>
                <w:rFonts w:ascii="Century" w:hAnsi="Century"/>
                <w:color w:val="404040"/>
              </w:rPr>
              <w:t xml:space="preserve"> global </w:t>
            </w:r>
            <w:r w:rsidR="001100DC" w:rsidRPr="00CF3FF2">
              <w:rPr>
                <w:rFonts w:ascii="Century" w:hAnsi="Century"/>
                <w:color w:val="404040"/>
              </w:rPr>
              <w:t>insurance premium production had</w:t>
            </w:r>
            <w:r w:rsidR="00EB7463" w:rsidRPr="00CF3FF2">
              <w:rPr>
                <w:rFonts w:ascii="Century" w:hAnsi="Century"/>
                <w:color w:val="404040"/>
              </w:rPr>
              <w:t xml:space="preserve"> been USD 3</w:t>
            </w:r>
            <w:r w:rsidR="00810F3E" w:rsidRPr="00CF3FF2">
              <w:rPr>
                <w:rFonts w:ascii="Century" w:hAnsi="Century"/>
                <w:color w:val="404040"/>
              </w:rPr>
              <w:t>,</w:t>
            </w:r>
            <w:r w:rsidRPr="00CF3FF2">
              <w:rPr>
                <w:rFonts w:ascii="Century" w:hAnsi="Century"/>
                <w:color w:val="404040"/>
              </w:rPr>
              <w:t>723</w:t>
            </w:r>
            <w:r w:rsidR="00EB7463" w:rsidRPr="00CF3FF2">
              <w:rPr>
                <w:rFonts w:ascii="Century" w:hAnsi="Century"/>
                <w:color w:val="404040"/>
              </w:rPr>
              <w:t xml:space="preserve"> billion. Lif</w:t>
            </w:r>
            <w:r w:rsidRPr="00CF3FF2">
              <w:rPr>
                <w:rFonts w:ascii="Century" w:hAnsi="Century"/>
                <w:color w:val="404040"/>
              </w:rPr>
              <w:t>e insurance premiums were USD 2,209</w:t>
            </w:r>
            <w:r w:rsidR="00EB7463" w:rsidRPr="00CF3FF2">
              <w:rPr>
                <w:rFonts w:ascii="Century" w:hAnsi="Century"/>
                <w:color w:val="404040"/>
              </w:rPr>
              <w:t xml:space="preserve"> billion and non-lif</w:t>
            </w:r>
            <w:r w:rsidRPr="00CF3FF2">
              <w:rPr>
                <w:rFonts w:ascii="Century" w:hAnsi="Century"/>
                <w:color w:val="404040"/>
              </w:rPr>
              <w:t>e insurance premiums were USD 1,514</w:t>
            </w:r>
            <w:r w:rsidR="00EB7463" w:rsidRPr="00CF3FF2">
              <w:rPr>
                <w:rFonts w:ascii="Century" w:hAnsi="Century"/>
                <w:color w:val="404040"/>
              </w:rPr>
              <w:t xml:space="preserve"> billion with annual increase rates</w:t>
            </w:r>
            <w:r w:rsidRPr="00CF3FF2">
              <w:rPr>
                <w:rFonts w:ascii="Century" w:hAnsi="Century"/>
                <w:color w:val="404040"/>
              </w:rPr>
              <w:t xml:space="preserve"> (inflation-adjusted) of 7.7% and 1.5</w:t>
            </w:r>
            <w:r w:rsidR="00EB7463" w:rsidRPr="00CF3FF2">
              <w:rPr>
                <w:rFonts w:ascii="Century" w:hAnsi="Century"/>
                <w:color w:val="404040"/>
              </w:rPr>
              <w:t>%</w:t>
            </w:r>
            <w:r w:rsidR="003B70A6" w:rsidRPr="00CF3FF2">
              <w:rPr>
                <w:rFonts w:ascii="Century" w:hAnsi="Century"/>
                <w:color w:val="404040"/>
              </w:rPr>
              <w:t>,</w:t>
            </w:r>
            <w:r w:rsidR="00EB7463" w:rsidRPr="00CF3FF2">
              <w:rPr>
                <w:rFonts w:ascii="Century" w:hAnsi="Century"/>
                <w:color w:val="404040"/>
              </w:rPr>
              <w:t xml:space="preserve"> respectively. </w:t>
            </w:r>
          </w:p>
          <w:p w:rsidR="0062114F" w:rsidRPr="00367FA3" w:rsidRDefault="0062114F" w:rsidP="008D17FE">
            <w:pPr>
              <w:rPr>
                <w:rFonts w:ascii="Century" w:hAnsi="Century"/>
                <w:highlight w:val="yellow"/>
                <w:lang w:val="tr-TR"/>
              </w:rPr>
            </w:pPr>
          </w:p>
        </w:tc>
      </w:tr>
      <w:tr w:rsidR="007B7F0D" w:rsidRPr="00367FA3">
        <w:tc>
          <w:tcPr>
            <w:tcW w:w="9855" w:type="dxa"/>
            <w:gridSpan w:val="5"/>
          </w:tcPr>
          <w:p w:rsidR="007B7F0D" w:rsidRPr="00D678A8" w:rsidRDefault="007B7F0D" w:rsidP="002D3D31">
            <w:pPr>
              <w:pStyle w:val="ResimYazs"/>
              <w:jc w:val="center"/>
              <w:rPr>
                <w:rFonts w:ascii="Century" w:hAnsi="Century"/>
                <w:lang w:val="tr-TR"/>
              </w:rPr>
            </w:pPr>
            <w:bookmarkStart w:id="7" w:name="_Toc170665521"/>
            <w:r w:rsidRPr="00D678A8">
              <w:rPr>
                <w:rFonts w:ascii="Century" w:hAnsi="Century"/>
                <w:lang w:val="tr-TR"/>
              </w:rPr>
              <w:t xml:space="preserve">Tablo </w:t>
            </w:r>
            <w:r w:rsidR="00C31AF3" w:rsidRPr="00D678A8">
              <w:rPr>
                <w:rFonts w:ascii="Century" w:hAnsi="Century"/>
                <w:lang w:val="tr-TR"/>
              </w:rPr>
              <w:t>1</w:t>
            </w:r>
            <w:r w:rsidR="00882D23" w:rsidRPr="00D678A8">
              <w:rPr>
                <w:rFonts w:ascii="Century" w:hAnsi="Century"/>
                <w:lang w:val="tr-TR"/>
              </w:rPr>
              <w:t>.1</w:t>
            </w:r>
            <w:r w:rsidRPr="00D678A8">
              <w:rPr>
                <w:rFonts w:ascii="Century" w:hAnsi="Century"/>
                <w:lang w:val="tr-TR"/>
              </w:rPr>
              <w:noBreakHyphen/>
            </w:r>
            <w:r w:rsidRPr="00D678A8">
              <w:rPr>
                <w:rFonts w:ascii="Century" w:hAnsi="Century"/>
                <w:lang w:val="tr-TR"/>
              </w:rPr>
              <w:fldChar w:fldCharType="begin"/>
            </w:r>
            <w:r w:rsidRPr="00D678A8">
              <w:rPr>
                <w:rFonts w:ascii="Century" w:hAnsi="Century"/>
                <w:lang w:val="tr-TR"/>
              </w:rPr>
              <w:instrText xml:space="preserve"> SEQ Tablo \* ARABIC \s 2 </w:instrText>
            </w:r>
            <w:r w:rsidRPr="00D678A8">
              <w:rPr>
                <w:rFonts w:ascii="Century" w:hAnsi="Century"/>
                <w:lang w:val="tr-TR"/>
              </w:rPr>
              <w:fldChar w:fldCharType="separate"/>
            </w:r>
            <w:r w:rsidR="00DA718E">
              <w:rPr>
                <w:rFonts w:ascii="Century" w:hAnsi="Century"/>
                <w:noProof/>
                <w:lang w:val="tr-TR"/>
              </w:rPr>
              <w:t>1</w:t>
            </w:r>
            <w:r w:rsidRPr="00D678A8">
              <w:rPr>
                <w:rFonts w:ascii="Century" w:hAnsi="Century"/>
                <w:lang w:val="tr-TR"/>
              </w:rPr>
              <w:fldChar w:fldCharType="end"/>
            </w:r>
            <w:r w:rsidRPr="00D678A8">
              <w:rPr>
                <w:rFonts w:ascii="Century" w:hAnsi="Century"/>
                <w:lang w:val="tr-TR"/>
              </w:rPr>
              <w:t xml:space="preserve">; </w:t>
            </w:r>
            <w:r w:rsidRPr="00D678A8">
              <w:rPr>
                <w:rFonts w:ascii="Century" w:hAnsi="Century"/>
                <w:bCs w:val="0"/>
                <w:lang w:val="tr-TR"/>
              </w:rPr>
              <w:t>Reel Büy</w:t>
            </w:r>
            <w:r w:rsidR="00D678A8" w:rsidRPr="00D678A8">
              <w:rPr>
                <w:rFonts w:ascii="Century" w:hAnsi="Century"/>
                <w:bCs w:val="0"/>
                <w:lang w:val="tr-TR"/>
              </w:rPr>
              <w:t>üme Oranları (%), 2006</w:t>
            </w:r>
            <w:r w:rsidRPr="00D678A8">
              <w:rPr>
                <w:rFonts w:ascii="Century" w:hAnsi="Century"/>
                <w:bCs w:val="0"/>
                <w:lang w:val="tr-TR"/>
              </w:rPr>
              <w:t xml:space="preserve"> </w:t>
            </w:r>
            <w:r w:rsidRPr="00D678A8">
              <w:rPr>
                <w:rFonts w:ascii="Century" w:hAnsi="Century"/>
                <w:bCs w:val="0"/>
                <w:i/>
                <w:iCs/>
                <w:lang w:val="tr-TR"/>
              </w:rPr>
              <w:t xml:space="preserve">- </w:t>
            </w:r>
            <w:r w:rsidRPr="00D678A8">
              <w:rPr>
                <w:rFonts w:ascii="Century" w:hAnsi="Century"/>
                <w:b w:val="0"/>
                <w:bCs w:val="0"/>
                <w:i/>
                <w:iCs/>
                <w:lang w:val="tr-TR"/>
              </w:rPr>
              <w:t>Real Premium Growth(%),200</w:t>
            </w:r>
            <w:bookmarkEnd w:id="7"/>
            <w:r w:rsidR="00D678A8" w:rsidRPr="00D678A8">
              <w:rPr>
                <w:rFonts w:ascii="Century" w:hAnsi="Century"/>
                <w:b w:val="0"/>
                <w:bCs w:val="0"/>
                <w:i/>
                <w:iCs/>
                <w:lang w:val="tr-TR"/>
              </w:rPr>
              <w:t>6</w:t>
            </w:r>
          </w:p>
          <w:tbl>
            <w:tblPr>
              <w:tblW w:w="6080" w:type="dxa"/>
              <w:jc w:val="center"/>
              <w:tblLayout w:type="fixed"/>
              <w:tblCellMar>
                <w:left w:w="70" w:type="dxa"/>
                <w:right w:w="70" w:type="dxa"/>
              </w:tblCellMar>
              <w:tblLook w:val="0000" w:firstRow="0" w:lastRow="0" w:firstColumn="0" w:lastColumn="0" w:noHBand="0" w:noVBand="0"/>
            </w:tblPr>
            <w:tblGrid>
              <w:gridCol w:w="4160"/>
              <w:gridCol w:w="960"/>
              <w:gridCol w:w="960"/>
            </w:tblGrid>
            <w:tr w:rsidR="00D678A8" w:rsidRPr="00D678A8">
              <w:trPr>
                <w:trHeight w:val="495"/>
                <w:jc w:val="center"/>
              </w:trPr>
              <w:tc>
                <w:tcPr>
                  <w:tcW w:w="4160" w:type="dxa"/>
                  <w:tcBorders>
                    <w:top w:val="nil"/>
                    <w:left w:val="nil"/>
                    <w:bottom w:val="single" w:sz="4" w:space="0" w:color="auto"/>
                    <w:right w:val="nil"/>
                  </w:tcBorders>
                  <w:shd w:val="clear" w:color="auto" w:fill="auto"/>
                  <w:noWrap/>
                  <w:vAlign w:val="center"/>
                </w:tcPr>
                <w:p w:rsidR="00D678A8" w:rsidRPr="00D678A8" w:rsidRDefault="00D678A8" w:rsidP="00D678A8">
                  <w:pPr>
                    <w:jc w:val="center"/>
                    <w:rPr>
                      <w:sz w:val="20"/>
                      <w:szCs w:val="20"/>
                      <w:lang w:val="tr-TR" w:eastAsia="tr-TR"/>
                    </w:rPr>
                  </w:pPr>
                </w:p>
              </w:tc>
              <w:tc>
                <w:tcPr>
                  <w:tcW w:w="960" w:type="dxa"/>
                  <w:tcBorders>
                    <w:top w:val="nil"/>
                    <w:left w:val="nil"/>
                    <w:bottom w:val="single" w:sz="4" w:space="0" w:color="auto"/>
                    <w:right w:val="nil"/>
                  </w:tcBorders>
                  <w:shd w:val="clear" w:color="auto" w:fill="auto"/>
                  <w:vAlign w:val="center"/>
                </w:tcPr>
                <w:p w:rsidR="00D678A8" w:rsidRPr="00D678A8" w:rsidRDefault="00D678A8" w:rsidP="00D678A8">
                  <w:pPr>
                    <w:jc w:val="center"/>
                    <w:rPr>
                      <w:b/>
                      <w:bCs/>
                      <w:sz w:val="20"/>
                      <w:szCs w:val="20"/>
                      <w:lang w:val="tr-TR" w:eastAsia="tr-TR"/>
                    </w:rPr>
                  </w:pPr>
                  <w:r w:rsidRPr="00D678A8">
                    <w:rPr>
                      <w:b/>
                      <w:bCs/>
                      <w:sz w:val="20"/>
                      <w:szCs w:val="20"/>
                      <w:lang w:val="tr-TR" w:eastAsia="tr-TR"/>
                    </w:rPr>
                    <w:t>Hayat</w:t>
                  </w:r>
                  <w:r w:rsidRPr="00D678A8">
                    <w:rPr>
                      <w:b/>
                      <w:bCs/>
                      <w:sz w:val="20"/>
                      <w:szCs w:val="20"/>
                      <w:lang w:val="tr-TR" w:eastAsia="tr-TR"/>
                    </w:rPr>
                    <w:br/>
                  </w:r>
                  <w:r w:rsidRPr="00D678A8">
                    <w:rPr>
                      <w:i/>
                      <w:iCs/>
                      <w:sz w:val="18"/>
                      <w:szCs w:val="18"/>
                      <w:lang w:val="tr-TR" w:eastAsia="tr-TR"/>
                    </w:rPr>
                    <w:t>Life</w:t>
                  </w:r>
                </w:p>
              </w:tc>
              <w:tc>
                <w:tcPr>
                  <w:tcW w:w="960" w:type="dxa"/>
                  <w:tcBorders>
                    <w:top w:val="nil"/>
                    <w:left w:val="nil"/>
                    <w:bottom w:val="single" w:sz="4" w:space="0" w:color="auto"/>
                    <w:right w:val="nil"/>
                  </w:tcBorders>
                  <w:shd w:val="clear" w:color="auto" w:fill="auto"/>
                  <w:vAlign w:val="center"/>
                </w:tcPr>
                <w:p w:rsidR="00D678A8" w:rsidRPr="00D678A8" w:rsidRDefault="00D678A8" w:rsidP="00D678A8">
                  <w:pPr>
                    <w:jc w:val="center"/>
                    <w:rPr>
                      <w:b/>
                      <w:bCs/>
                      <w:sz w:val="20"/>
                      <w:szCs w:val="20"/>
                      <w:lang w:val="tr-TR" w:eastAsia="tr-TR"/>
                    </w:rPr>
                  </w:pPr>
                  <w:r w:rsidRPr="00D678A8">
                    <w:rPr>
                      <w:b/>
                      <w:bCs/>
                      <w:sz w:val="20"/>
                      <w:szCs w:val="20"/>
                      <w:lang w:val="tr-TR" w:eastAsia="tr-TR"/>
                    </w:rPr>
                    <w:t>Hayat Dışı</w:t>
                  </w:r>
                  <w:r w:rsidRPr="00D678A8">
                    <w:rPr>
                      <w:b/>
                      <w:bCs/>
                      <w:sz w:val="20"/>
                      <w:szCs w:val="20"/>
                      <w:lang w:val="tr-TR" w:eastAsia="tr-TR"/>
                    </w:rPr>
                    <w:br/>
                  </w:r>
                  <w:r w:rsidRPr="00D678A8">
                    <w:rPr>
                      <w:i/>
                      <w:iCs/>
                      <w:sz w:val="18"/>
                      <w:szCs w:val="18"/>
                      <w:lang w:val="tr-TR" w:eastAsia="tr-TR"/>
                    </w:rPr>
                    <w:t>Non - Life</w:t>
                  </w:r>
                </w:p>
              </w:tc>
            </w:tr>
            <w:tr w:rsidR="00D678A8" w:rsidRPr="00D678A8">
              <w:trPr>
                <w:trHeight w:val="255"/>
                <w:jc w:val="center"/>
              </w:trPr>
              <w:tc>
                <w:tcPr>
                  <w:tcW w:w="4160" w:type="dxa"/>
                  <w:tcBorders>
                    <w:top w:val="nil"/>
                    <w:left w:val="nil"/>
                    <w:bottom w:val="nil"/>
                    <w:right w:val="nil"/>
                  </w:tcBorders>
                  <w:shd w:val="clear" w:color="auto" w:fill="auto"/>
                  <w:noWrap/>
                  <w:vAlign w:val="bottom"/>
                </w:tcPr>
                <w:p w:rsidR="00D678A8" w:rsidRPr="00D678A8" w:rsidRDefault="00D678A8" w:rsidP="00D678A8">
                  <w:pPr>
                    <w:rPr>
                      <w:sz w:val="20"/>
                      <w:szCs w:val="20"/>
                      <w:lang w:val="tr-TR" w:eastAsia="tr-TR"/>
                    </w:rPr>
                  </w:pPr>
                  <w:r w:rsidRPr="00D678A8">
                    <w:rPr>
                      <w:sz w:val="20"/>
                      <w:szCs w:val="20"/>
                      <w:lang w:val="tr-TR" w:eastAsia="tr-TR"/>
                    </w:rPr>
                    <w:t>Sanayileşmiş Ülkeler -</w:t>
                  </w:r>
                  <w:r w:rsidRPr="00D678A8">
                    <w:rPr>
                      <w:i/>
                      <w:iCs/>
                      <w:sz w:val="18"/>
                      <w:szCs w:val="18"/>
                      <w:lang w:val="tr-TR" w:eastAsia="tr-TR"/>
                    </w:rPr>
                    <w:t xml:space="preserve"> Industrialised Countries</w:t>
                  </w:r>
                </w:p>
              </w:tc>
              <w:tc>
                <w:tcPr>
                  <w:tcW w:w="960" w:type="dxa"/>
                  <w:tcBorders>
                    <w:top w:val="nil"/>
                    <w:left w:val="nil"/>
                    <w:bottom w:val="nil"/>
                    <w:right w:val="nil"/>
                  </w:tcBorders>
                  <w:shd w:val="clear" w:color="auto" w:fill="auto"/>
                  <w:noWrap/>
                  <w:vAlign w:val="bottom"/>
                </w:tcPr>
                <w:p w:rsidR="00D678A8" w:rsidRPr="00D678A8" w:rsidRDefault="00D678A8" w:rsidP="00D678A8">
                  <w:pPr>
                    <w:jc w:val="center"/>
                    <w:rPr>
                      <w:sz w:val="20"/>
                      <w:szCs w:val="20"/>
                      <w:lang w:val="tr-TR" w:eastAsia="tr-TR"/>
                    </w:rPr>
                  </w:pPr>
                  <w:r w:rsidRPr="00D678A8">
                    <w:rPr>
                      <w:sz w:val="20"/>
                      <w:szCs w:val="20"/>
                      <w:lang w:val="tr-TR" w:eastAsia="tr-TR"/>
                    </w:rPr>
                    <w:t>6,6</w:t>
                  </w:r>
                </w:p>
              </w:tc>
              <w:tc>
                <w:tcPr>
                  <w:tcW w:w="960" w:type="dxa"/>
                  <w:tcBorders>
                    <w:top w:val="nil"/>
                    <w:left w:val="nil"/>
                    <w:bottom w:val="nil"/>
                    <w:right w:val="nil"/>
                  </w:tcBorders>
                  <w:shd w:val="clear" w:color="auto" w:fill="auto"/>
                  <w:noWrap/>
                  <w:vAlign w:val="bottom"/>
                </w:tcPr>
                <w:p w:rsidR="00D678A8" w:rsidRPr="00D678A8" w:rsidRDefault="00D678A8" w:rsidP="00D678A8">
                  <w:pPr>
                    <w:jc w:val="center"/>
                    <w:rPr>
                      <w:sz w:val="20"/>
                      <w:szCs w:val="20"/>
                      <w:lang w:val="tr-TR" w:eastAsia="tr-TR"/>
                    </w:rPr>
                  </w:pPr>
                  <w:r w:rsidRPr="00D678A8">
                    <w:rPr>
                      <w:sz w:val="20"/>
                      <w:szCs w:val="20"/>
                      <w:lang w:val="tr-TR" w:eastAsia="tr-TR"/>
                    </w:rPr>
                    <w:t>0,6</w:t>
                  </w:r>
                </w:p>
              </w:tc>
            </w:tr>
            <w:tr w:rsidR="00D678A8" w:rsidRPr="00D678A8">
              <w:trPr>
                <w:trHeight w:val="315"/>
                <w:jc w:val="center"/>
              </w:trPr>
              <w:tc>
                <w:tcPr>
                  <w:tcW w:w="4160" w:type="dxa"/>
                  <w:tcBorders>
                    <w:top w:val="nil"/>
                    <w:left w:val="nil"/>
                    <w:bottom w:val="single" w:sz="4" w:space="0" w:color="auto"/>
                    <w:right w:val="nil"/>
                  </w:tcBorders>
                  <w:shd w:val="clear" w:color="auto" w:fill="auto"/>
                  <w:noWrap/>
                  <w:vAlign w:val="bottom"/>
                </w:tcPr>
                <w:p w:rsidR="00D678A8" w:rsidRPr="00D678A8" w:rsidRDefault="00D678A8" w:rsidP="00D678A8">
                  <w:pPr>
                    <w:rPr>
                      <w:sz w:val="20"/>
                      <w:szCs w:val="20"/>
                      <w:lang w:val="tr-TR" w:eastAsia="tr-TR"/>
                    </w:rPr>
                  </w:pPr>
                  <w:r w:rsidRPr="00D678A8">
                    <w:rPr>
                      <w:sz w:val="20"/>
                      <w:szCs w:val="20"/>
                      <w:lang w:val="tr-TR" w:eastAsia="tr-TR"/>
                    </w:rPr>
                    <w:t xml:space="preserve">Gelişmekte Olan Piyasalar </w:t>
                  </w:r>
                  <w:r w:rsidRPr="00D678A8">
                    <w:rPr>
                      <w:i/>
                      <w:iCs/>
                      <w:sz w:val="18"/>
                      <w:szCs w:val="18"/>
                      <w:lang w:val="tr-TR" w:eastAsia="tr-TR"/>
                    </w:rPr>
                    <w:t>- Emerging Markets</w:t>
                  </w:r>
                </w:p>
              </w:tc>
              <w:tc>
                <w:tcPr>
                  <w:tcW w:w="960" w:type="dxa"/>
                  <w:tcBorders>
                    <w:top w:val="nil"/>
                    <w:left w:val="nil"/>
                    <w:bottom w:val="single" w:sz="4" w:space="0" w:color="auto"/>
                    <w:right w:val="nil"/>
                  </w:tcBorders>
                  <w:shd w:val="clear" w:color="auto" w:fill="auto"/>
                  <w:noWrap/>
                  <w:vAlign w:val="bottom"/>
                </w:tcPr>
                <w:p w:rsidR="00D678A8" w:rsidRPr="00D678A8" w:rsidRDefault="00D678A8" w:rsidP="00D678A8">
                  <w:pPr>
                    <w:jc w:val="center"/>
                    <w:rPr>
                      <w:sz w:val="20"/>
                      <w:szCs w:val="20"/>
                      <w:lang w:val="tr-TR" w:eastAsia="tr-TR"/>
                    </w:rPr>
                  </w:pPr>
                  <w:r w:rsidRPr="00D678A8">
                    <w:rPr>
                      <w:sz w:val="20"/>
                      <w:szCs w:val="20"/>
                      <w:lang w:val="tr-TR" w:eastAsia="tr-TR"/>
                    </w:rPr>
                    <w:t>21,1</w:t>
                  </w:r>
                </w:p>
              </w:tc>
              <w:tc>
                <w:tcPr>
                  <w:tcW w:w="960" w:type="dxa"/>
                  <w:tcBorders>
                    <w:top w:val="nil"/>
                    <w:left w:val="nil"/>
                    <w:bottom w:val="single" w:sz="4" w:space="0" w:color="auto"/>
                    <w:right w:val="nil"/>
                  </w:tcBorders>
                  <w:shd w:val="clear" w:color="auto" w:fill="auto"/>
                  <w:noWrap/>
                  <w:vAlign w:val="bottom"/>
                </w:tcPr>
                <w:p w:rsidR="00D678A8" w:rsidRPr="00D678A8" w:rsidRDefault="00D678A8" w:rsidP="00D678A8">
                  <w:pPr>
                    <w:jc w:val="center"/>
                    <w:rPr>
                      <w:sz w:val="20"/>
                      <w:szCs w:val="20"/>
                      <w:lang w:val="tr-TR" w:eastAsia="tr-TR"/>
                    </w:rPr>
                  </w:pPr>
                  <w:r w:rsidRPr="00D678A8">
                    <w:rPr>
                      <w:sz w:val="20"/>
                      <w:szCs w:val="20"/>
                      <w:lang w:val="tr-TR" w:eastAsia="tr-TR"/>
                    </w:rPr>
                    <w:t>10,8</w:t>
                  </w:r>
                </w:p>
              </w:tc>
            </w:tr>
            <w:tr w:rsidR="00D678A8" w:rsidRPr="00D678A8">
              <w:trPr>
                <w:trHeight w:val="270"/>
                <w:jc w:val="center"/>
              </w:trPr>
              <w:tc>
                <w:tcPr>
                  <w:tcW w:w="4160" w:type="dxa"/>
                  <w:tcBorders>
                    <w:top w:val="single" w:sz="4" w:space="0" w:color="auto"/>
                    <w:left w:val="nil"/>
                    <w:bottom w:val="double" w:sz="6" w:space="0" w:color="339966"/>
                    <w:right w:val="nil"/>
                  </w:tcBorders>
                  <w:shd w:val="clear" w:color="auto" w:fill="auto"/>
                  <w:noWrap/>
                  <w:vAlign w:val="bottom"/>
                </w:tcPr>
                <w:p w:rsidR="00D678A8" w:rsidRPr="00D678A8" w:rsidRDefault="00D678A8" w:rsidP="00D678A8">
                  <w:pPr>
                    <w:rPr>
                      <w:sz w:val="20"/>
                      <w:szCs w:val="20"/>
                      <w:lang w:val="tr-TR" w:eastAsia="tr-TR"/>
                    </w:rPr>
                  </w:pPr>
                  <w:r w:rsidRPr="00D678A8">
                    <w:rPr>
                      <w:sz w:val="20"/>
                      <w:szCs w:val="20"/>
                      <w:lang w:val="tr-TR" w:eastAsia="tr-TR"/>
                    </w:rPr>
                    <w:t xml:space="preserve">Toplam </w:t>
                  </w:r>
                  <w:r w:rsidR="008F74DE">
                    <w:rPr>
                      <w:i/>
                      <w:iCs/>
                      <w:sz w:val="18"/>
                      <w:szCs w:val="18"/>
                      <w:lang w:val="tr-TR" w:eastAsia="tr-TR"/>
                    </w:rPr>
                    <w:t>–</w:t>
                  </w:r>
                  <w:r w:rsidRPr="00D678A8">
                    <w:rPr>
                      <w:i/>
                      <w:iCs/>
                      <w:sz w:val="18"/>
                      <w:szCs w:val="18"/>
                      <w:lang w:val="tr-TR" w:eastAsia="tr-TR"/>
                    </w:rPr>
                    <w:t xml:space="preserve"> Total</w:t>
                  </w:r>
                </w:p>
              </w:tc>
              <w:tc>
                <w:tcPr>
                  <w:tcW w:w="960" w:type="dxa"/>
                  <w:tcBorders>
                    <w:top w:val="single" w:sz="4" w:space="0" w:color="auto"/>
                    <w:left w:val="nil"/>
                    <w:bottom w:val="double" w:sz="6" w:space="0" w:color="339966"/>
                    <w:right w:val="nil"/>
                  </w:tcBorders>
                  <w:shd w:val="clear" w:color="auto" w:fill="auto"/>
                  <w:noWrap/>
                  <w:vAlign w:val="bottom"/>
                </w:tcPr>
                <w:p w:rsidR="00D678A8" w:rsidRPr="00D678A8" w:rsidRDefault="00D678A8" w:rsidP="00D678A8">
                  <w:pPr>
                    <w:jc w:val="center"/>
                    <w:rPr>
                      <w:sz w:val="20"/>
                      <w:szCs w:val="20"/>
                      <w:lang w:val="tr-TR" w:eastAsia="tr-TR"/>
                    </w:rPr>
                  </w:pPr>
                  <w:r w:rsidRPr="00D678A8">
                    <w:rPr>
                      <w:sz w:val="20"/>
                      <w:szCs w:val="20"/>
                      <w:lang w:val="tr-TR" w:eastAsia="tr-TR"/>
                    </w:rPr>
                    <w:t>7,7</w:t>
                  </w:r>
                </w:p>
              </w:tc>
              <w:tc>
                <w:tcPr>
                  <w:tcW w:w="960" w:type="dxa"/>
                  <w:tcBorders>
                    <w:top w:val="single" w:sz="4" w:space="0" w:color="auto"/>
                    <w:left w:val="nil"/>
                    <w:bottom w:val="double" w:sz="6" w:space="0" w:color="339966"/>
                    <w:right w:val="nil"/>
                  </w:tcBorders>
                  <w:shd w:val="clear" w:color="auto" w:fill="auto"/>
                  <w:noWrap/>
                  <w:vAlign w:val="bottom"/>
                </w:tcPr>
                <w:p w:rsidR="00D678A8" w:rsidRPr="00D678A8" w:rsidRDefault="00D678A8" w:rsidP="00D678A8">
                  <w:pPr>
                    <w:jc w:val="center"/>
                    <w:rPr>
                      <w:sz w:val="20"/>
                      <w:szCs w:val="20"/>
                      <w:lang w:val="tr-TR" w:eastAsia="tr-TR"/>
                    </w:rPr>
                  </w:pPr>
                  <w:r w:rsidRPr="00D678A8">
                    <w:rPr>
                      <w:sz w:val="20"/>
                      <w:szCs w:val="20"/>
                      <w:lang w:val="tr-TR" w:eastAsia="tr-TR"/>
                    </w:rPr>
                    <w:t>1,5</w:t>
                  </w:r>
                </w:p>
              </w:tc>
            </w:tr>
          </w:tbl>
          <w:p w:rsidR="007B7F0D" w:rsidRPr="005B7CED" w:rsidRDefault="001343F0" w:rsidP="001343F0">
            <w:pPr>
              <w:rPr>
                <w:rFonts w:ascii="Century" w:hAnsi="Century"/>
                <w:sz w:val="18"/>
                <w:szCs w:val="18"/>
                <w:lang w:val="tr-TR"/>
              </w:rPr>
            </w:pPr>
            <w:r>
              <w:rPr>
                <w:rFonts w:ascii="Century" w:hAnsi="Century"/>
                <w:sz w:val="20"/>
                <w:szCs w:val="20"/>
                <w:lang w:val="tr-TR"/>
              </w:rPr>
              <w:t xml:space="preserve">                               </w:t>
            </w:r>
            <w:r w:rsidRPr="005B7CED">
              <w:rPr>
                <w:rFonts w:ascii="Century" w:hAnsi="Century"/>
                <w:sz w:val="18"/>
                <w:szCs w:val="18"/>
                <w:lang w:val="tr-TR"/>
              </w:rPr>
              <w:t>Kaynak: Sigma Dergisi, 2006'da Dünya Sigortacılığı, No:4/2007</w:t>
            </w:r>
          </w:p>
          <w:p w:rsidR="001343F0" w:rsidRPr="005B7CED" w:rsidRDefault="001343F0" w:rsidP="001343F0">
            <w:pPr>
              <w:rPr>
                <w:rFonts w:ascii="Century" w:hAnsi="Century"/>
                <w:i/>
                <w:sz w:val="16"/>
                <w:szCs w:val="16"/>
                <w:lang w:val="tr-TR"/>
              </w:rPr>
            </w:pPr>
            <w:r w:rsidRPr="005B7CED">
              <w:rPr>
                <w:rFonts w:ascii="Century" w:hAnsi="Century"/>
                <w:i/>
                <w:sz w:val="18"/>
                <w:szCs w:val="18"/>
                <w:lang w:val="tr-TR"/>
              </w:rPr>
              <w:t xml:space="preserve">                               </w:t>
            </w:r>
            <w:r w:rsidR="005B7CED">
              <w:rPr>
                <w:rFonts w:ascii="Century" w:hAnsi="Century"/>
                <w:i/>
                <w:sz w:val="18"/>
                <w:szCs w:val="18"/>
                <w:lang w:val="tr-TR"/>
              </w:rPr>
              <w:t xml:space="preserve">    </w:t>
            </w:r>
            <w:r w:rsidRPr="005B7CED">
              <w:rPr>
                <w:rFonts w:ascii="Century" w:hAnsi="Century"/>
                <w:i/>
                <w:sz w:val="16"/>
                <w:szCs w:val="16"/>
                <w:lang w:val="tr-TR"/>
              </w:rPr>
              <w:t>Source: Sigma Magazine, World Insurance in 2006, No: 4/2007</w:t>
            </w:r>
          </w:p>
          <w:p w:rsidR="00AF54EB" w:rsidRPr="00D678A8" w:rsidRDefault="00AF54EB" w:rsidP="00AD59C0">
            <w:pPr>
              <w:rPr>
                <w:rFonts w:ascii="Century" w:hAnsi="Century"/>
                <w:sz w:val="20"/>
                <w:szCs w:val="20"/>
                <w:lang w:val="tr-TR"/>
              </w:rPr>
            </w:pPr>
          </w:p>
        </w:tc>
      </w:tr>
      <w:tr w:rsidR="001700F0" w:rsidRPr="00367FA3">
        <w:tc>
          <w:tcPr>
            <w:tcW w:w="4815" w:type="dxa"/>
            <w:gridSpan w:val="2"/>
          </w:tcPr>
          <w:p w:rsidR="00AF54EB" w:rsidRPr="00A90A56" w:rsidRDefault="00AF54EB" w:rsidP="00AF54EB">
            <w:pPr>
              <w:jc w:val="both"/>
              <w:rPr>
                <w:rFonts w:ascii="Century" w:hAnsi="Century"/>
                <w:lang w:val="tr-TR"/>
              </w:rPr>
            </w:pPr>
          </w:p>
          <w:p w:rsidR="00AF54EB" w:rsidRPr="00A90A56" w:rsidRDefault="00BC615C" w:rsidP="00AF54EB">
            <w:pPr>
              <w:jc w:val="both"/>
              <w:rPr>
                <w:rFonts w:ascii="Century" w:hAnsi="Century"/>
                <w:lang w:val="tr-TR"/>
              </w:rPr>
            </w:pPr>
            <w:r w:rsidRPr="00A90A56">
              <w:rPr>
                <w:rFonts w:ascii="Century" w:hAnsi="Century"/>
                <w:lang w:val="tr-TR"/>
              </w:rPr>
              <w:t>2006</w:t>
            </w:r>
            <w:r w:rsidR="00AF54EB" w:rsidRPr="00A90A56">
              <w:rPr>
                <w:rFonts w:ascii="Century" w:hAnsi="Century"/>
                <w:lang w:val="tr-TR"/>
              </w:rPr>
              <w:t xml:space="preserve"> yılında gerçekleştirilen prim üretiminde</w:t>
            </w:r>
            <w:r w:rsidR="006001BF">
              <w:rPr>
                <w:rFonts w:ascii="Century" w:hAnsi="Century"/>
                <w:lang w:val="tr-TR"/>
              </w:rPr>
              <w:t>,</w:t>
            </w:r>
            <w:r w:rsidR="00AF54EB" w:rsidRPr="00A90A56">
              <w:rPr>
                <w:rFonts w:ascii="Century" w:hAnsi="Century"/>
                <w:lang w:val="tr-TR"/>
              </w:rPr>
              <w:t xml:space="preserve"> sanayileşmiş ülkeler %</w:t>
            </w:r>
            <w:r w:rsidRPr="00A90A56">
              <w:rPr>
                <w:rFonts w:ascii="Century" w:hAnsi="Century"/>
                <w:lang w:val="tr-TR"/>
              </w:rPr>
              <w:t>91,05</w:t>
            </w:r>
            <w:r w:rsidR="00AF54EB" w:rsidRPr="00A90A56">
              <w:rPr>
                <w:rFonts w:ascii="Century" w:hAnsi="Century"/>
                <w:lang w:val="tr-TR"/>
              </w:rPr>
              <w:t xml:space="preserve"> oranında bir paya sahip</w:t>
            </w:r>
            <w:r w:rsidR="00006198">
              <w:rPr>
                <w:rFonts w:ascii="Century" w:hAnsi="Century"/>
                <w:lang w:val="tr-TR"/>
              </w:rPr>
              <w:t xml:space="preserve">tir. </w:t>
            </w:r>
            <w:r w:rsidR="00006198" w:rsidRPr="00006198">
              <w:rPr>
                <w:rFonts w:ascii="Century" w:hAnsi="Century"/>
                <w:lang w:val="tr-TR"/>
              </w:rPr>
              <w:t>Gelişmekte olan ülkelerin payları ise bir önceki yıla göre</w:t>
            </w:r>
            <w:r w:rsidR="003039B5" w:rsidRPr="00006198">
              <w:rPr>
                <w:rFonts w:ascii="Century" w:hAnsi="Century"/>
                <w:lang w:val="tr-TR"/>
              </w:rPr>
              <w:t xml:space="preserve"> 3,5 puanlık bir düşüşle</w:t>
            </w:r>
            <w:r w:rsidR="00AF54EB" w:rsidRPr="00A90A56">
              <w:rPr>
                <w:rFonts w:ascii="Century" w:hAnsi="Century"/>
                <w:lang w:val="tr-TR"/>
              </w:rPr>
              <w:t xml:space="preserve"> %</w:t>
            </w:r>
            <w:r w:rsidR="0042127E" w:rsidRPr="00A90A56">
              <w:rPr>
                <w:rFonts w:ascii="Century" w:hAnsi="Century"/>
                <w:lang w:val="tr-TR"/>
              </w:rPr>
              <w:t xml:space="preserve"> </w:t>
            </w:r>
            <w:r w:rsidR="003039B5" w:rsidRPr="00A90A56">
              <w:rPr>
                <w:rFonts w:ascii="Century" w:hAnsi="Century"/>
                <w:lang w:val="tr-TR"/>
              </w:rPr>
              <w:t>8,95</w:t>
            </w:r>
            <w:r w:rsidR="00AF54EB" w:rsidRPr="00A90A56">
              <w:rPr>
                <w:rFonts w:ascii="Century" w:hAnsi="Century"/>
                <w:lang w:val="tr-TR"/>
              </w:rPr>
              <w:t xml:space="preserve">’e </w:t>
            </w:r>
            <w:r w:rsidR="003039B5" w:rsidRPr="00A90A56">
              <w:rPr>
                <w:rFonts w:ascii="Century" w:hAnsi="Century"/>
                <w:lang w:val="tr-TR"/>
              </w:rPr>
              <w:t xml:space="preserve">gerilemiştir. </w:t>
            </w:r>
            <w:r w:rsidR="00AF54EB" w:rsidRPr="0087113C">
              <w:rPr>
                <w:rFonts w:ascii="Century" w:hAnsi="Century"/>
                <w:lang w:val="tr-TR"/>
              </w:rPr>
              <w:t>Hayat ve hayat dışı branşlar itibariyle kişi başı prim üretimi incelendiğinde, hem sanayileşmiş hem de gelişmekte olan ülkelerde hayat dalı üretiminin daha yüksek bir paya sahip olduğu ve gelişmekte olan ülkelerden bölgesel bazda sadece Latin Amerika</w:t>
            </w:r>
            <w:r w:rsidR="0087113C" w:rsidRPr="0087113C">
              <w:rPr>
                <w:rFonts w:ascii="Century" w:hAnsi="Century"/>
                <w:lang w:val="tr-TR"/>
              </w:rPr>
              <w:t xml:space="preserve"> ve Karayipler</w:t>
            </w:r>
            <w:r w:rsidR="00AF54EB" w:rsidRPr="0087113C">
              <w:rPr>
                <w:rFonts w:ascii="Century" w:hAnsi="Century"/>
                <w:lang w:val="tr-TR"/>
              </w:rPr>
              <w:t xml:space="preserve">, </w:t>
            </w:r>
            <w:r w:rsidR="0087113C" w:rsidRPr="0087113C">
              <w:rPr>
                <w:rFonts w:ascii="Century" w:hAnsi="Century"/>
                <w:lang w:val="tr-TR"/>
              </w:rPr>
              <w:t xml:space="preserve">Merkez ve </w:t>
            </w:r>
            <w:r w:rsidR="00AF54EB" w:rsidRPr="0087113C">
              <w:rPr>
                <w:rFonts w:ascii="Century" w:hAnsi="Century"/>
                <w:lang w:val="tr-TR"/>
              </w:rPr>
              <w:t xml:space="preserve">Doğu Avrupa </w:t>
            </w:r>
            <w:r w:rsidR="00DF724E">
              <w:rPr>
                <w:rFonts w:ascii="Century" w:hAnsi="Century"/>
                <w:lang w:val="tr-TR"/>
              </w:rPr>
              <w:t>ile</w:t>
            </w:r>
            <w:r w:rsidR="00AF54EB" w:rsidRPr="0087113C">
              <w:rPr>
                <w:rFonts w:ascii="Century" w:hAnsi="Century"/>
                <w:lang w:val="tr-TR"/>
              </w:rPr>
              <w:t xml:space="preserve"> Orta Doğu</w:t>
            </w:r>
            <w:r w:rsidR="0087113C" w:rsidRPr="0087113C">
              <w:rPr>
                <w:rFonts w:ascii="Century" w:hAnsi="Century"/>
                <w:lang w:val="tr-TR"/>
              </w:rPr>
              <w:t xml:space="preserve"> ve Merkez Asya’</w:t>
            </w:r>
            <w:r w:rsidR="00AF54EB" w:rsidRPr="0087113C">
              <w:rPr>
                <w:rFonts w:ascii="Century" w:hAnsi="Century"/>
                <w:lang w:val="tr-TR"/>
              </w:rPr>
              <w:t>da hayat dışı branşlarda prim ür</w:t>
            </w:r>
            <w:r w:rsidR="00F967AF" w:rsidRPr="0087113C">
              <w:rPr>
                <w:rFonts w:ascii="Century" w:hAnsi="Century"/>
                <w:lang w:val="tr-TR"/>
              </w:rPr>
              <w:t xml:space="preserve">etiminin hayat dalına göre </w:t>
            </w:r>
            <w:r w:rsidR="00AF54EB" w:rsidRPr="0087113C">
              <w:rPr>
                <w:rFonts w:ascii="Century" w:hAnsi="Century"/>
                <w:lang w:val="tr-TR"/>
              </w:rPr>
              <w:t>yüksek olduğu görülmektedir.</w:t>
            </w:r>
            <w:r w:rsidR="00AF54EB" w:rsidRPr="00A90A56">
              <w:rPr>
                <w:rFonts w:ascii="Century" w:hAnsi="Century"/>
                <w:lang w:val="tr-TR"/>
              </w:rPr>
              <w:t xml:space="preserve">  </w:t>
            </w:r>
          </w:p>
          <w:p w:rsidR="00CF74F5" w:rsidRPr="00A90A56" w:rsidRDefault="00CF74F5" w:rsidP="008D17FE">
            <w:pPr>
              <w:rPr>
                <w:rFonts w:ascii="Century" w:hAnsi="Century"/>
                <w:lang w:val="tr-TR"/>
              </w:rPr>
            </w:pPr>
          </w:p>
        </w:tc>
        <w:tc>
          <w:tcPr>
            <w:tcW w:w="236" w:type="dxa"/>
            <w:gridSpan w:val="2"/>
          </w:tcPr>
          <w:p w:rsidR="001700F0" w:rsidRPr="00367FA3" w:rsidRDefault="001700F0" w:rsidP="008D17FE">
            <w:pPr>
              <w:rPr>
                <w:rFonts w:ascii="Century" w:hAnsi="Century"/>
                <w:highlight w:val="yellow"/>
                <w:lang w:val="tr-TR"/>
              </w:rPr>
            </w:pPr>
          </w:p>
        </w:tc>
        <w:tc>
          <w:tcPr>
            <w:tcW w:w="4804" w:type="dxa"/>
          </w:tcPr>
          <w:p w:rsidR="00AF54EB" w:rsidRPr="00C43A16" w:rsidRDefault="00AF54EB" w:rsidP="00AF54EB">
            <w:pPr>
              <w:jc w:val="both"/>
              <w:rPr>
                <w:rFonts w:ascii="Century" w:hAnsi="Century"/>
                <w:color w:val="595959"/>
                <w:highlight w:val="yellow"/>
                <w:lang w:val="tr-TR"/>
              </w:rPr>
            </w:pPr>
          </w:p>
          <w:p w:rsidR="00AF54EB" w:rsidRPr="00CF3FF2" w:rsidRDefault="00AF54EB" w:rsidP="00AF54EB">
            <w:pPr>
              <w:jc w:val="both"/>
              <w:rPr>
                <w:rFonts w:ascii="Century" w:hAnsi="Century"/>
                <w:color w:val="404040"/>
                <w:highlight w:val="yellow"/>
              </w:rPr>
            </w:pPr>
            <w:r w:rsidRPr="00CF3FF2">
              <w:rPr>
                <w:rFonts w:ascii="Century" w:hAnsi="Century"/>
                <w:color w:val="404040"/>
              </w:rPr>
              <w:t xml:space="preserve">Industrialized countries has biggest share </w:t>
            </w:r>
            <w:r w:rsidR="003039B5" w:rsidRPr="00CF3FF2">
              <w:rPr>
                <w:rFonts w:ascii="Century" w:hAnsi="Century"/>
                <w:color w:val="404040"/>
              </w:rPr>
              <w:t>in global premium volume with 91.05</w:t>
            </w:r>
            <w:r w:rsidRPr="00CF3FF2">
              <w:rPr>
                <w:rFonts w:ascii="Century" w:hAnsi="Century"/>
                <w:color w:val="404040"/>
              </w:rPr>
              <w:t>%. Emerging marke</w:t>
            </w:r>
            <w:r w:rsidR="00F967AF" w:rsidRPr="00CF3FF2">
              <w:rPr>
                <w:rFonts w:ascii="Century" w:hAnsi="Century"/>
                <w:color w:val="404040"/>
              </w:rPr>
              <w:t xml:space="preserve">ts </w:t>
            </w:r>
            <w:r w:rsidR="003039B5" w:rsidRPr="00CF3FF2">
              <w:rPr>
                <w:rFonts w:ascii="Century" w:hAnsi="Century"/>
                <w:color w:val="404040"/>
              </w:rPr>
              <w:t>reduced</w:t>
            </w:r>
            <w:r w:rsidR="00F967AF" w:rsidRPr="00CF3FF2">
              <w:rPr>
                <w:rFonts w:ascii="Century" w:hAnsi="Century"/>
                <w:color w:val="404040"/>
              </w:rPr>
              <w:t xml:space="preserve"> their share by </w:t>
            </w:r>
            <w:r w:rsidR="003039B5" w:rsidRPr="00CF3FF2">
              <w:rPr>
                <w:rFonts w:ascii="Century" w:hAnsi="Century"/>
                <w:color w:val="404040"/>
              </w:rPr>
              <w:t>3.5</w:t>
            </w:r>
            <w:r w:rsidR="00F967AF" w:rsidRPr="00CF3FF2">
              <w:rPr>
                <w:rFonts w:ascii="Century" w:hAnsi="Century"/>
                <w:color w:val="404040"/>
              </w:rPr>
              <w:t xml:space="preserve"> point</w:t>
            </w:r>
            <w:r w:rsidR="003039B5" w:rsidRPr="00CF3FF2">
              <w:rPr>
                <w:rFonts w:ascii="Century" w:hAnsi="Century"/>
                <w:color w:val="404040"/>
              </w:rPr>
              <w:t xml:space="preserve"> to 8.95</w:t>
            </w:r>
            <w:r w:rsidRPr="00CF3FF2">
              <w:rPr>
                <w:rFonts w:ascii="Century" w:hAnsi="Century"/>
                <w:color w:val="404040"/>
              </w:rPr>
              <w:t xml:space="preserve">%. </w:t>
            </w:r>
            <w:r w:rsidR="0087113C" w:rsidRPr="00CF3FF2">
              <w:rPr>
                <w:rFonts w:ascii="Century" w:hAnsi="Century"/>
                <w:color w:val="404040"/>
              </w:rPr>
              <w:t>For years 2005 and 2006</w:t>
            </w:r>
            <w:r w:rsidRPr="00CF3FF2">
              <w:rPr>
                <w:rFonts w:ascii="Century" w:hAnsi="Century"/>
                <w:color w:val="404040"/>
              </w:rPr>
              <w:t>, it is realized that industrial and emerging markets including Asia and Africa zone</w:t>
            </w:r>
            <w:r w:rsidR="00F967AF" w:rsidRPr="00CF3FF2">
              <w:rPr>
                <w:rFonts w:ascii="Century" w:hAnsi="Century"/>
                <w:color w:val="404040"/>
              </w:rPr>
              <w:t>s</w:t>
            </w:r>
            <w:r w:rsidRPr="00CF3FF2">
              <w:rPr>
                <w:rFonts w:ascii="Century" w:hAnsi="Century"/>
                <w:color w:val="404040"/>
              </w:rPr>
              <w:t xml:space="preserve"> produced more premium at life insurance while Latin America</w:t>
            </w:r>
            <w:r w:rsidR="0087113C" w:rsidRPr="00CF3FF2">
              <w:rPr>
                <w:rFonts w:ascii="Century" w:hAnsi="Century"/>
                <w:color w:val="404040"/>
              </w:rPr>
              <w:t xml:space="preserve"> and Caribbean</w:t>
            </w:r>
            <w:r w:rsidRPr="00CF3FF2">
              <w:rPr>
                <w:rFonts w:ascii="Century" w:hAnsi="Century"/>
                <w:color w:val="404040"/>
              </w:rPr>
              <w:t xml:space="preserve">, </w:t>
            </w:r>
            <w:r w:rsidR="0087113C" w:rsidRPr="00CF3FF2">
              <w:rPr>
                <w:rFonts w:ascii="Century" w:hAnsi="Century"/>
                <w:color w:val="404040"/>
              </w:rPr>
              <w:t xml:space="preserve">Central and </w:t>
            </w:r>
            <w:r w:rsidRPr="00CF3FF2">
              <w:rPr>
                <w:rFonts w:ascii="Century" w:hAnsi="Century"/>
                <w:color w:val="404040"/>
              </w:rPr>
              <w:t>East</w:t>
            </w:r>
            <w:r w:rsidR="0087113C" w:rsidRPr="00CF3FF2">
              <w:rPr>
                <w:rFonts w:ascii="Century" w:hAnsi="Century"/>
                <w:color w:val="404040"/>
              </w:rPr>
              <w:t>ern</w:t>
            </w:r>
            <w:r w:rsidRPr="00CF3FF2">
              <w:rPr>
                <w:rFonts w:ascii="Century" w:hAnsi="Century"/>
                <w:color w:val="404040"/>
              </w:rPr>
              <w:t xml:space="preserve"> Europe and Middle East </w:t>
            </w:r>
            <w:r w:rsidR="0087113C" w:rsidRPr="00CF3FF2">
              <w:rPr>
                <w:rFonts w:ascii="Century" w:hAnsi="Century"/>
                <w:color w:val="404040"/>
              </w:rPr>
              <w:t xml:space="preserve">and </w:t>
            </w:r>
            <w:smartTag w:uri="urn:schemas-microsoft-com:office:smarttags" w:element="place">
              <w:r w:rsidR="0087113C" w:rsidRPr="00CF3FF2">
                <w:rPr>
                  <w:rFonts w:ascii="Century" w:hAnsi="Century"/>
                  <w:color w:val="404040"/>
                </w:rPr>
                <w:t>Central Asia</w:t>
              </w:r>
            </w:smartTag>
            <w:r w:rsidR="0087113C" w:rsidRPr="00CF3FF2">
              <w:rPr>
                <w:rFonts w:ascii="Century" w:hAnsi="Century"/>
                <w:color w:val="404040"/>
              </w:rPr>
              <w:t xml:space="preserve"> </w:t>
            </w:r>
            <w:r w:rsidRPr="00CF3FF2">
              <w:rPr>
                <w:rFonts w:ascii="Century" w:hAnsi="Century"/>
                <w:color w:val="404040"/>
              </w:rPr>
              <w:t>zones from emerging markets produced more at non-life insurance.</w:t>
            </w:r>
          </w:p>
          <w:p w:rsidR="00B0135C" w:rsidRPr="00CF3FF2" w:rsidRDefault="00B0135C" w:rsidP="00B0135C">
            <w:pPr>
              <w:ind w:right="-108"/>
              <w:jc w:val="both"/>
              <w:rPr>
                <w:rFonts w:ascii="Century" w:hAnsi="Century"/>
                <w:color w:val="404040"/>
                <w:highlight w:val="yellow"/>
              </w:rPr>
            </w:pPr>
          </w:p>
          <w:p w:rsidR="00AF54EB" w:rsidRPr="00367FA3" w:rsidRDefault="00AF54EB" w:rsidP="00B0135C">
            <w:pPr>
              <w:jc w:val="both"/>
              <w:rPr>
                <w:rFonts w:ascii="Century" w:hAnsi="Century"/>
                <w:color w:val="1C1C1C"/>
                <w:highlight w:val="yellow"/>
              </w:rPr>
            </w:pPr>
          </w:p>
          <w:p w:rsidR="001700F0" w:rsidRPr="00367FA3" w:rsidRDefault="001700F0" w:rsidP="008D17FE">
            <w:pPr>
              <w:rPr>
                <w:rFonts w:ascii="Century" w:hAnsi="Century"/>
                <w:color w:val="595959"/>
                <w:highlight w:val="yellow"/>
              </w:rPr>
            </w:pPr>
          </w:p>
          <w:p w:rsidR="00AF54EB" w:rsidRPr="00367FA3" w:rsidRDefault="00AF54EB" w:rsidP="008D17FE">
            <w:pPr>
              <w:rPr>
                <w:rFonts w:ascii="Century" w:hAnsi="Century"/>
                <w:color w:val="595959"/>
                <w:highlight w:val="yellow"/>
                <w:lang w:val="tr-TR"/>
              </w:rPr>
            </w:pPr>
          </w:p>
        </w:tc>
      </w:tr>
      <w:tr w:rsidR="007B7F0D" w:rsidRPr="00367FA3">
        <w:tc>
          <w:tcPr>
            <w:tcW w:w="9855" w:type="dxa"/>
            <w:gridSpan w:val="5"/>
          </w:tcPr>
          <w:p w:rsidR="007B7F0D" w:rsidRPr="00A90A56" w:rsidRDefault="007B7F0D" w:rsidP="002D3D31">
            <w:pPr>
              <w:pStyle w:val="ResimYazs"/>
              <w:jc w:val="center"/>
              <w:rPr>
                <w:rFonts w:ascii="Century" w:hAnsi="Century"/>
                <w:lang w:val="tr-TR"/>
              </w:rPr>
            </w:pPr>
            <w:bookmarkStart w:id="8" w:name="_Toc170665522"/>
            <w:r w:rsidRPr="00A90A56">
              <w:rPr>
                <w:rFonts w:ascii="Century" w:hAnsi="Century"/>
                <w:lang w:val="tr-TR"/>
              </w:rPr>
              <w:lastRenderedPageBreak/>
              <w:t xml:space="preserve">Tablo </w:t>
            </w:r>
            <w:r w:rsidR="00C31AF3" w:rsidRPr="00A90A56">
              <w:rPr>
                <w:rFonts w:ascii="Century" w:hAnsi="Century"/>
                <w:lang w:val="tr-TR"/>
              </w:rPr>
              <w:t>1</w:t>
            </w:r>
            <w:r w:rsidR="00882D23" w:rsidRPr="00A90A56">
              <w:rPr>
                <w:rFonts w:ascii="Century" w:hAnsi="Century"/>
                <w:lang w:val="tr-TR"/>
              </w:rPr>
              <w:t>.1</w:t>
            </w:r>
            <w:r w:rsidRPr="00A90A56">
              <w:rPr>
                <w:rFonts w:ascii="Century" w:hAnsi="Century"/>
                <w:lang w:val="tr-TR"/>
              </w:rPr>
              <w:noBreakHyphen/>
            </w:r>
            <w:r w:rsidRPr="00A90A56">
              <w:rPr>
                <w:rFonts w:ascii="Century" w:hAnsi="Century"/>
                <w:lang w:val="tr-TR"/>
              </w:rPr>
              <w:fldChar w:fldCharType="begin"/>
            </w:r>
            <w:r w:rsidRPr="00A90A56">
              <w:rPr>
                <w:rFonts w:ascii="Century" w:hAnsi="Century"/>
                <w:lang w:val="tr-TR"/>
              </w:rPr>
              <w:instrText xml:space="preserve"> SEQ Tablo \* ARABIC \s 2 </w:instrText>
            </w:r>
            <w:r w:rsidRPr="00A90A56">
              <w:rPr>
                <w:rFonts w:ascii="Century" w:hAnsi="Century"/>
                <w:lang w:val="tr-TR"/>
              </w:rPr>
              <w:fldChar w:fldCharType="separate"/>
            </w:r>
            <w:r w:rsidR="00DA718E">
              <w:rPr>
                <w:rFonts w:ascii="Century" w:hAnsi="Century"/>
                <w:noProof/>
                <w:lang w:val="tr-TR"/>
              </w:rPr>
              <w:t>2</w:t>
            </w:r>
            <w:r w:rsidRPr="00A90A56">
              <w:rPr>
                <w:rFonts w:ascii="Century" w:hAnsi="Century"/>
                <w:lang w:val="tr-TR"/>
              </w:rPr>
              <w:fldChar w:fldCharType="end"/>
            </w:r>
            <w:r w:rsidRPr="00A90A56">
              <w:rPr>
                <w:rFonts w:ascii="Century" w:hAnsi="Century"/>
                <w:lang w:val="tr-TR"/>
              </w:rPr>
              <w:t xml:space="preserve">; </w:t>
            </w:r>
            <w:r w:rsidRPr="00A90A56">
              <w:rPr>
                <w:rFonts w:ascii="Century" w:hAnsi="Century"/>
                <w:bCs w:val="0"/>
                <w:lang w:val="tr-TR"/>
              </w:rPr>
              <w:t>Kişi Başına Prim (ABD Doları)</w:t>
            </w:r>
            <w:r w:rsidRPr="00A90A56">
              <w:rPr>
                <w:rFonts w:ascii="Century" w:hAnsi="Century"/>
                <w:bCs w:val="0"/>
                <w:i/>
                <w:iCs/>
                <w:lang w:val="tr-TR"/>
              </w:rPr>
              <w:t xml:space="preserve"> - </w:t>
            </w:r>
            <w:r w:rsidRPr="00A90A56">
              <w:rPr>
                <w:rFonts w:ascii="Century" w:hAnsi="Century"/>
                <w:b w:val="0"/>
                <w:bCs w:val="0"/>
                <w:i/>
                <w:iCs/>
                <w:lang w:val="tr-TR"/>
              </w:rPr>
              <w:t>Premium Per Capita (USD)</w:t>
            </w:r>
            <w:bookmarkEnd w:id="8"/>
          </w:p>
          <w:tbl>
            <w:tblPr>
              <w:tblW w:w="8974" w:type="dxa"/>
              <w:jc w:val="center"/>
              <w:tblLayout w:type="fixed"/>
              <w:tblCellMar>
                <w:left w:w="70" w:type="dxa"/>
                <w:right w:w="70" w:type="dxa"/>
              </w:tblCellMar>
              <w:tblLook w:val="0000" w:firstRow="0" w:lastRow="0" w:firstColumn="0" w:lastColumn="0" w:noHBand="0" w:noVBand="0"/>
            </w:tblPr>
            <w:tblGrid>
              <w:gridCol w:w="5140"/>
              <w:gridCol w:w="1080"/>
              <w:gridCol w:w="900"/>
              <w:gridCol w:w="900"/>
              <w:gridCol w:w="954"/>
            </w:tblGrid>
            <w:tr w:rsidR="00A90A56" w:rsidRPr="00A90A56">
              <w:trPr>
                <w:trHeight w:val="255"/>
                <w:jc w:val="center"/>
              </w:trPr>
              <w:tc>
                <w:tcPr>
                  <w:tcW w:w="5140" w:type="dxa"/>
                  <w:tcBorders>
                    <w:top w:val="nil"/>
                    <w:left w:val="nil"/>
                    <w:bottom w:val="single" w:sz="4" w:space="0" w:color="auto"/>
                    <w:right w:val="nil"/>
                  </w:tcBorders>
                  <w:shd w:val="clear" w:color="auto" w:fill="auto"/>
                  <w:noWrap/>
                  <w:vAlign w:val="bottom"/>
                </w:tcPr>
                <w:p w:rsidR="00A90A56" w:rsidRPr="00A90A56" w:rsidRDefault="00A90A56" w:rsidP="00A90A56">
                  <w:pPr>
                    <w:rPr>
                      <w:rFonts w:ascii="Arial TUR" w:hAnsi="Arial TUR" w:cs="Arial TUR"/>
                      <w:sz w:val="20"/>
                      <w:szCs w:val="20"/>
                      <w:lang w:val="tr-TR" w:eastAsia="tr-TR"/>
                    </w:rPr>
                  </w:pPr>
                  <w:r w:rsidRPr="00A90A56">
                    <w:rPr>
                      <w:rFonts w:ascii="Arial TUR" w:hAnsi="Arial TUR" w:cs="Arial TUR"/>
                      <w:sz w:val="20"/>
                      <w:szCs w:val="20"/>
                      <w:lang w:val="tr-TR" w:eastAsia="tr-TR"/>
                    </w:rPr>
                    <w:t> </w:t>
                  </w:r>
                </w:p>
              </w:tc>
              <w:tc>
                <w:tcPr>
                  <w:tcW w:w="1980" w:type="dxa"/>
                  <w:gridSpan w:val="2"/>
                  <w:tcBorders>
                    <w:top w:val="nil"/>
                    <w:left w:val="nil"/>
                    <w:bottom w:val="single" w:sz="4" w:space="0" w:color="auto"/>
                    <w:right w:val="nil"/>
                  </w:tcBorders>
                  <w:shd w:val="clear" w:color="auto" w:fill="auto"/>
                  <w:noWrap/>
                  <w:vAlign w:val="bottom"/>
                </w:tcPr>
                <w:p w:rsidR="00A90A56" w:rsidRPr="00A90A56" w:rsidRDefault="00A90A56" w:rsidP="00A90A56">
                  <w:pPr>
                    <w:jc w:val="center"/>
                    <w:rPr>
                      <w:b/>
                      <w:bCs/>
                      <w:sz w:val="20"/>
                      <w:szCs w:val="20"/>
                      <w:lang w:val="tr-TR" w:eastAsia="tr-TR"/>
                    </w:rPr>
                  </w:pPr>
                  <w:r w:rsidRPr="00A90A56">
                    <w:rPr>
                      <w:b/>
                      <w:bCs/>
                      <w:sz w:val="20"/>
                      <w:szCs w:val="20"/>
                      <w:lang w:val="tr-TR" w:eastAsia="tr-TR"/>
                    </w:rPr>
                    <w:t>2006</w:t>
                  </w:r>
                </w:p>
              </w:tc>
              <w:tc>
                <w:tcPr>
                  <w:tcW w:w="1854" w:type="dxa"/>
                  <w:gridSpan w:val="2"/>
                  <w:tcBorders>
                    <w:top w:val="nil"/>
                    <w:left w:val="nil"/>
                    <w:bottom w:val="single" w:sz="4" w:space="0" w:color="auto"/>
                    <w:right w:val="nil"/>
                  </w:tcBorders>
                  <w:shd w:val="clear" w:color="auto" w:fill="auto"/>
                  <w:noWrap/>
                  <w:vAlign w:val="bottom"/>
                </w:tcPr>
                <w:p w:rsidR="00A90A56" w:rsidRPr="00A90A56" w:rsidRDefault="00A90A56" w:rsidP="00A90A56">
                  <w:pPr>
                    <w:jc w:val="center"/>
                    <w:rPr>
                      <w:b/>
                      <w:bCs/>
                      <w:sz w:val="20"/>
                      <w:szCs w:val="20"/>
                      <w:lang w:val="tr-TR" w:eastAsia="tr-TR"/>
                    </w:rPr>
                  </w:pPr>
                  <w:r w:rsidRPr="00A90A56">
                    <w:rPr>
                      <w:b/>
                      <w:bCs/>
                      <w:sz w:val="20"/>
                      <w:szCs w:val="20"/>
                      <w:lang w:val="tr-TR" w:eastAsia="tr-TR"/>
                    </w:rPr>
                    <w:t>2005</w:t>
                  </w:r>
                </w:p>
              </w:tc>
            </w:tr>
            <w:tr w:rsidR="00A90A56" w:rsidRPr="00A90A56">
              <w:trPr>
                <w:trHeight w:val="495"/>
                <w:jc w:val="center"/>
              </w:trPr>
              <w:tc>
                <w:tcPr>
                  <w:tcW w:w="5140" w:type="dxa"/>
                  <w:tcBorders>
                    <w:top w:val="nil"/>
                    <w:left w:val="nil"/>
                    <w:bottom w:val="single" w:sz="4" w:space="0" w:color="auto"/>
                    <w:right w:val="nil"/>
                  </w:tcBorders>
                  <w:shd w:val="clear" w:color="auto" w:fill="auto"/>
                  <w:noWrap/>
                  <w:vAlign w:val="bottom"/>
                </w:tcPr>
                <w:p w:rsidR="00A90A56" w:rsidRPr="00A90A56" w:rsidRDefault="00A90A56" w:rsidP="00A90A56">
                  <w:pPr>
                    <w:rPr>
                      <w:rFonts w:ascii="Arial TUR" w:hAnsi="Arial TUR" w:cs="Arial TUR"/>
                      <w:sz w:val="20"/>
                      <w:szCs w:val="20"/>
                      <w:lang w:val="tr-TR" w:eastAsia="tr-TR"/>
                    </w:rPr>
                  </w:pPr>
                  <w:r w:rsidRPr="00A90A56">
                    <w:rPr>
                      <w:rFonts w:ascii="Arial TUR" w:hAnsi="Arial TUR" w:cs="Arial TUR"/>
                      <w:sz w:val="20"/>
                      <w:szCs w:val="20"/>
                      <w:lang w:val="tr-TR" w:eastAsia="tr-TR"/>
                    </w:rPr>
                    <w:t> </w:t>
                  </w:r>
                </w:p>
              </w:tc>
              <w:tc>
                <w:tcPr>
                  <w:tcW w:w="1080" w:type="dxa"/>
                  <w:tcBorders>
                    <w:top w:val="nil"/>
                    <w:left w:val="nil"/>
                    <w:bottom w:val="single" w:sz="4" w:space="0" w:color="auto"/>
                    <w:right w:val="nil"/>
                  </w:tcBorders>
                  <w:shd w:val="clear" w:color="auto" w:fill="auto"/>
                  <w:vAlign w:val="center"/>
                </w:tcPr>
                <w:p w:rsidR="00A90A56" w:rsidRPr="00A90A56" w:rsidRDefault="00A90A56" w:rsidP="00BF5783">
                  <w:pPr>
                    <w:jc w:val="center"/>
                    <w:rPr>
                      <w:b/>
                      <w:bCs/>
                      <w:sz w:val="20"/>
                      <w:szCs w:val="20"/>
                      <w:lang w:val="tr-TR" w:eastAsia="tr-TR"/>
                    </w:rPr>
                  </w:pPr>
                  <w:r w:rsidRPr="00A90A56">
                    <w:rPr>
                      <w:b/>
                      <w:bCs/>
                      <w:sz w:val="20"/>
                      <w:szCs w:val="20"/>
                      <w:lang w:val="tr-TR" w:eastAsia="tr-TR"/>
                    </w:rPr>
                    <w:t>Hayat</w:t>
                  </w:r>
                  <w:r w:rsidRPr="00A90A56">
                    <w:rPr>
                      <w:b/>
                      <w:bCs/>
                      <w:sz w:val="20"/>
                      <w:szCs w:val="20"/>
                      <w:lang w:val="tr-TR" w:eastAsia="tr-TR"/>
                    </w:rPr>
                    <w:br/>
                  </w:r>
                  <w:r w:rsidRPr="00A90A56">
                    <w:rPr>
                      <w:i/>
                      <w:iCs/>
                      <w:sz w:val="18"/>
                      <w:szCs w:val="18"/>
                      <w:lang w:val="tr-TR" w:eastAsia="tr-TR"/>
                    </w:rPr>
                    <w:t>Life</w:t>
                  </w:r>
                </w:p>
              </w:tc>
              <w:tc>
                <w:tcPr>
                  <w:tcW w:w="900" w:type="dxa"/>
                  <w:tcBorders>
                    <w:top w:val="nil"/>
                    <w:left w:val="nil"/>
                    <w:bottom w:val="single" w:sz="4" w:space="0" w:color="auto"/>
                    <w:right w:val="nil"/>
                  </w:tcBorders>
                  <w:shd w:val="clear" w:color="auto" w:fill="auto"/>
                  <w:vAlign w:val="center"/>
                </w:tcPr>
                <w:p w:rsidR="00A90A56" w:rsidRPr="00A90A56" w:rsidRDefault="00A90A56" w:rsidP="00BF5783">
                  <w:pPr>
                    <w:jc w:val="center"/>
                    <w:rPr>
                      <w:b/>
                      <w:bCs/>
                      <w:sz w:val="20"/>
                      <w:szCs w:val="20"/>
                      <w:lang w:val="tr-TR" w:eastAsia="tr-TR"/>
                    </w:rPr>
                  </w:pPr>
                  <w:r w:rsidRPr="00A90A56">
                    <w:rPr>
                      <w:b/>
                      <w:bCs/>
                      <w:sz w:val="20"/>
                      <w:szCs w:val="20"/>
                      <w:lang w:val="tr-TR" w:eastAsia="tr-TR"/>
                    </w:rPr>
                    <w:t xml:space="preserve">Hayat Dışı </w:t>
                  </w:r>
                  <w:r w:rsidRPr="00A90A56">
                    <w:rPr>
                      <w:b/>
                      <w:bCs/>
                      <w:sz w:val="20"/>
                      <w:szCs w:val="20"/>
                      <w:lang w:val="tr-TR" w:eastAsia="tr-TR"/>
                    </w:rPr>
                    <w:br/>
                  </w:r>
                  <w:r w:rsidRPr="00A90A56">
                    <w:rPr>
                      <w:i/>
                      <w:iCs/>
                      <w:sz w:val="18"/>
                      <w:szCs w:val="18"/>
                      <w:lang w:val="tr-TR" w:eastAsia="tr-TR"/>
                    </w:rPr>
                    <w:t>Non - Life</w:t>
                  </w:r>
                </w:p>
              </w:tc>
              <w:tc>
                <w:tcPr>
                  <w:tcW w:w="900" w:type="dxa"/>
                  <w:tcBorders>
                    <w:top w:val="nil"/>
                    <w:left w:val="nil"/>
                    <w:bottom w:val="single" w:sz="4" w:space="0" w:color="auto"/>
                    <w:right w:val="nil"/>
                  </w:tcBorders>
                  <w:shd w:val="clear" w:color="auto" w:fill="auto"/>
                  <w:vAlign w:val="center"/>
                </w:tcPr>
                <w:p w:rsidR="00A90A56" w:rsidRPr="00A90A56" w:rsidRDefault="00A90A56" w:rsidP="00BF5783">
                  <w:pPr>
                    <w:jc w:val="center"/>
                    <w:rPr>
                      <w:b/>
                      <w:bCs/>
                      <w:sz w:val="20"/>
                      <w:szCs w:val="20"/>
                      <w:lang w:val="tr-TR" w:eastAsia="tr-TR"/>
                    </w:rPr>
                  </w:pPr>
                  <w:r w:rsidRPr="00A90A56">
                    <w:rPr>
                      <w:b/>
                      <w:bCs/>
                      <w:sz w:val="20"/>
                      <w:szCs w:val="20"/>
                      <w:lang w:val="tr-TR" w:eastAsia="tr-TR"/>
                    </w:rPr>
                    <w:t>Hayat</w:t>
                  </w:r>
                  <w:r w:rsidRPr="00A90A56">
                    <w:rPr>
                      <w:b/>
                      <w:bCs/>
                      <w:sz w:val="20"/>
                      <w:szCs w:val="20"/>
                      <w:lang w:val="tr-TR" w:eastAsia="tr-TR"/>
                    </w:rPr>
                    <w:br/>
                  </w:r>
                  <w:r w:rsidRPr="00A90A56">
                    <w:rPr>
                      <w:i/>
                      <w:iCs/>
                      <w:sz w:val="18"/>
                      <w:szCs w:val="18"/>
                      <w:lang w:val="tr-TR" w:eastAsia="tr-TR"/>
                    </w:rPr>
                    <w:t>Life</w:t>
                  </w:r>
                </w:p>
              </w:tc>
              <w:tc>
                <w:tcPr>
                  <w:tcW w:w="954" w:type="dxa"/>
                  <w:tcBorders>
                    <w:top w:val="nil"/>
                    <w:left w:val="nil"/>
                    <w:bottom w:val="single" w:sz="4" w:space="0" w:color="auto"/>
                    <w:right w:val="nil"/>
                  </w:tcBorders>
                  <w:shd w:val="clear" w:color="auto" w:fill="auto"/>
                  <w:vAlign w:val="center"/>
                </w:tcPr>
                <w:p w:rsidR="00A90A56" w:rsidRPr="00A90A56" w:rsidRDefault="00A90A56" w:rsidP="00BF5783">
                  <w:pPr>
                    <w:jc w:val="center"/>
                    <w:rPr>
                      <w:b/>
                      <w:bCs/>
                      <w:sz w:val="20"/>
                      <w:szCs w:val="20"/>
                      <w:lang w:val="tr-TR" w:eastAsia="tr-TR"/>
                    </w:rPr>
                  </w:pPr>
                  <w:r w:rsidRPr="00A90A56">
                    <w:rPr>
                      <w:b/>
                      <w:bCs/>
                      <w:sz w:val="20"/>
                      <w:szCs w:val="20"/>
                      <w:lang w:val="tr-TR" w:eastAsia="tr-TR"/>
                    </w:rPr>
                    <w:t xml:space="preserve">Hayat Dışı </w:t>
                  </w:r>
                  <w:r w:rsidRPr="00A90A56">
                    <w:rPr>
                      <w:b/>
                      <w:bCs/>
                      <w:sz w:val="20"/>
                      <w:szCs w:val="20"/>
                      <w:lang w:val="tr-TR" w:eastAsia="tr-TR"/>
                    </w:rPr>
                    <w:br/>
                  </w:r>
                  <w:r w:rsidRPr="00A90A56">
                    <w:rPr>
                      <w:i/>
                      <w:iCs/>
                      <w:sz w:val="18"/>
                      <w:szCs w:val="18"/>
                      <w:lang w:val="tr-TR" w:eastAsia="tr-TR"/>
                    </w:rPr>
                    <w:t>Non - Life</w:t>
                  </w:r>
                </w:p>
              </w:tc>
            </w:tr>
            <w:tr w:rsidR="00A90A56" w:rsidRPr="00A90A56">
              <w:trPr>
                <w:trHeight w:val="255"/>
                <w:jc w:val="center"/>
              </w:trPr>
              <w:tc>
                <w:tcPr>
                  <w:tcW w:w="5140" w:type="dxa"/>
                  <w:tcBorders>
                    <w:top w:val="nil"/>
                    <w:left w:val="nil"/>
                    <w:bottom w:val="nil"/>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 xml:space="preserve">Sanayileşmiş Piyasalar </w:t>
                  </w:r>
                  <w:r w:rsidRPr="00A90A56">
                    <w:rPr>
                      <w:i/>
                      <w:iCs/>
                      <w:sz w:val="18"/>
                      <w:szCs w:val="18"/>
                      <w:lang w:val="tr-TR" w:eastAsia="tr-TR"/>
                    </w:rPr>
                    <w:t>- Industrial Markets</w:t>
                  </w:r>
                </w:p>
              </w:tc>
              <w:tc>
                <w:tcPr>
                  <w:tcW w:w="108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2.026,0</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1.336,2</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1.887,0</w:t>
                  </w:r>
                </w:p>
              </w:tc>
              <w:tc>
                <w:tcPr>
                  <w:tcW w:w="954"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1.399,8</w:t>
                  </w:r>
                </w:p>
              </w:tc>
            </w:tr>
            <w:tr w:rsidR="00A90A56" w:rsidRPr="00A90A56">
              <w:trPr>
                <w:trHeight w:val="255"/>
                <w:jc w:val="center"/>
              </w:trPr>
              <w:tc>
                <w:tcPr>
                  <w:tcW w:w="5140" w:type="dxa"/>
                  <w:tcBorders>
                    <w:top w:val="nil"/>
                    <w:left w:val="nil"/>
                    <w:bottom w:val="nil"/>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 xml:space="preserve">Gelişmekte Olan Piyasalar </w:t>
                  </w:r>
                  <w:r w:rsidRPr="00A90A56">
                    <w:rPr>
                      <w:i/>
                      <w:iCs/>
                      <w:sz w:val="18"/>
                      <w:szCs w:val="18"/>
                      <w:lang w:val="tr-TR" w:eastAsia="tr-TR"/>
                    </w:rPr>
                    <w:t>- Emerging Markets</w:t>
                  </w:r>
                </w:p>
              </w:tc>
              <w:tc>
                <w:tcPr>
                  <w:tcW w:w="108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31,6</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28,2</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46,1</w:t>
                  </w:r>
                </w:p>
              </w:tc>
              <w:tc>
                <w:tcPr>
                  <w:tcW w:w="954"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30,4</w:t>
                  </w:r>
                </w:p>
              </w:tc>
            </w:tr>
            <w:tr w:rsidR="00A90A56" w:rsidRPr="00A90A56">
              <w:trPr>
                <w:trHeight w:val="255"/>
                <w:jc w:val="center"/>
              </w:trPr>
              <w:tc>
                <w:tcPr>
                  <w:tcW w:w="5140" w:type="dxa"/>
                  <w:tcBorders>
                    <w:top w:val="nil"/>
                    <w:left w:val="nil"/>
                    <w:bottom w:val="nil"/>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 xml:space="preserve">   -Asya </w:t>
                  </w:r>
                  <w:r w:rsidRPr="00A90A56">
                    <w:rPr>
                      <w:i/>
                      <w:iCs/>
                      <w:sz w:val="18"/>
                      <w:szCs w:val="18"/>
                      <w:lang w:val="tr-TR" w:eastAsia="tr-TR"/>
                    </w:rPr>
                    <w:t xml:space="preserve">- Asia </w:t>
                  </w:r>
                </w:p>
              </w:tc>
              <w:tc>
                <w:tcPr>
                  <w:tcW w:w="108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154,6</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50,4</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56,6</w:t>
                  </w:r>
                </w:p>
              </w:tc>
              <w:tc>
                <w:tcPr>
                  <w:tcW w:w="954"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21,4</w:t>
                  </w:r>
                </w:p>
              </w:tc>
            </w:tr>
            <w:tr w:rsidR="00A90A56" w:rsidRPr="00A90A56">
              <w:trPr>
                <w:trHeight w:val="255"/>
                <w:jc w:val="center"/>
              </w:trPr>
              <w:tc>
                <w:tcPr>
                  <w:tcW w:w="5140" w:type="dxa"/>
                  <w:tcBorders>
                    <w:top w:val="nil"/>
                    <w:left w:val="nil"/>
                    <w:bottom w:val="nil"/>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 xml:space="preserve">   -Latin Amerika ve Karayipler </w:t>
                  </w:r>
                  <w:r w:rsidRPr="00A90A56">
                    <w:rPr>
                      <w:i/>
                      <w:iCs/>
                      <w:sz w:val="18"/>
                      <w:szCs w:val="18"/>
                      <w:lang w:val="tr-TR" w:eastAsia="tr-TR"/>
                    </w:rPr>
                    <w:t>- Latin America and Caribbean</w:t>
                  </w:r>
                </w:p>
              </w:tc>
              <w:tc>
                <w:tcPr>
                  <w:tcW w:w="108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51,3</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75,4</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42,0</w:t>
                  </w:r>
                </w:p>
              </w:tc>
              <w:tc>
                <w:tcPr>
                  <w:tcW w:w="954"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63,8</w:t>
                  </w:r>
                </w:p>
              </w:tc>
            </w:tr>
            <w:tr w:rsidR="00A90A56" w:rsidRPr="00A90A56">
              <w:trPr>
                <w:trHeight w:val="255"/>
                <w:jc w:val="center"/>
              </w:trPr>
              <w:tc>
                <w:tcPr>
                  <w:tcW w:w="5140" w:type="dxa"/>
                  <w:tcBorders>
                    <w:top w:val="nil"/>
                    <w:left w:val="nil"/>
                    <w:bottom w:val="nil"/>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 xml:space="preserve">   -Merkez ve Doğu Avrupa</w:t>
                  </w:r>
                  <w:r w:rsidRPr="00A90A56">
                    <w:rPr>
                      <w:i/>
                      <w:iCs/>
                      <w:sz w:val="18"/>
                      <w:szCs w:val="18"/>
                      <w:lang w:val="tr-TR" w:eastAsia="tr-TR"/>
                    </w:rPr>
                    <w:t xml:space="preserve"> - Central and Eastern Europe</w:t>
                  </w:r>
                </w:p>
              </w:tc>
              <w:tc>
                <w:tcPr>
                  <w:tcW w:w="108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40,0</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131,4</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31,8</w:t>
                  </w:r>
                </w:p>
              </w:tc>
              <w:tc>
                <w:tcPr>
                  <w:tcW w:w="954"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109,9</w:t>
                  </w:r>
                </w:p>
              </w:tc>
            </w:tr>
            <w:tr w:rsidR="00A90A56" w:rsidRPr="00A90A56">
              <w:trPr>
                <w:trHeight w:val="255"/>
                <w:jc w:val="center"/>
              </w:trPr>
              <w:tc>
                <w:tcPr>
                  <w:tcW w:w="5140" w:type="dxa"/>
                  <w:tcBorders>
                    <w:top w:val="nil"/>
                    <w:left w:val="nil"/>
                    <w:bottom w:val="nil"/>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 xml:space="preserve">   -Afrika </w:t>
                  </w:r>
                  <w:r w:rsidR="00350749">
                    <w:rPr>
                      <w:i/>
                      <w:iCs/>
                      <w:sz w:val="18"/>
                      <w:szCs w:val="18"/>
                      <w:lang w:val="tr-TR" w:eastAsia="tr-TR"/>
                    </w:rPr>
                    <w:t>–</w:t>
                  </w:r>
                  <w:r w:rsidRPr="00A90A56">
                    <w:rPr>
                      <w:i/>
                      <w:iCs/>
                      <w:sz w:val="18"/>
                      <w:szCs w:val="18"/>
                      <w:lang w:val="tr-TR" w:eastAsia="tr-TR"/>
                    </w:rPr>
                    <w:t xml:space="preserve"> Africa</w:t>
                  </w:r>
                </w:p>
              </w:tc>
              <w:tc>
                <w:tcPr>
                  <w:tcW w:w="108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38,3</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15,3</w:t>
                  </w:r>
                </w:p>
              </w:tc>
              <w:tc>
                <w:tcPr>
                  <w:tcW w:w="900"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30,7</w:t>
                  </w:r>
                </w:p>
              </w:tc>
              <w:tc>
                <w:tcPr>
                  <w:tcW w:w="954" w:type="dxa"/>
                  <w:tcBorders>
                    <w:top w:val="nil"/>
                    <w:left w:val="nil"/>
                    <w:bottom w:val="nil"/>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13,5</w:t>
                  </w:r>
                </w:p>
              </w:tc>
            </w:tr>
            <w:tr w:rsidR="00A90A56" w:rsidRPr="00A90A56">
              <w:trPr>
                <w:trHeight w:val="270"/>
                <w:jc w:val="center"/>
              </w:trPr>
              <w:tc>
                <w:tcPr>
                  <w:tcW w:w="5140" w:type="dxa"/>
                  <w:tcBorders>
                    <w:top w:val="nil"/>
                    <w:left w:val="nil"/>
                    <w:bottom w:val="double" w:sz="6" w:space="0" w:color="auto"/>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 xml:space="preserve">   -Orta Doğu ve Merkez Asya </w:t>
                  </w:r>
                  <w:r w:rsidRPr="00A90A56">
                    <w:rPr>
                      <w:i/>
                      <w:iCs/>
                      <w:sz w:val="18"/>
                      <w:szCs w:val="18"/>
                      <w:lang w:val="tr-TR" w:eastAsia="tr-TR"/>
                    </w:rPr>
                    <w:t>- Middle East and Central Asia</w:t>
                  </w:r>
                </w:p>
              </w:tc>
              <w:tc>
                <w:tcPr>
                  <w:tcW w:w="1080" w:type="dxa"/>
                  <w:tcBorders>
                    <w:top w:val="nil"/>
                    <w:left w:val="nil"/>
                    <w:bottom w:val="double" w:sz="6" w:space="0" w:color="auto"/>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15,8</w:t>
                  </w:r>
                </w:p>
              </w:tc>
              <w:tc>
                <w:tcPr>
                  <w:tcW w:w="900" w:type="dxa"/>
                  <w:tcBorders>
                    <w:top w:val="nil"/>
                    <w:left w:val="nil"/>
                    <w:bottom w:val="double" w:sz="6" w:space="0" w:color="auto"/>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46,8</w:t>
                  </w:r>
                </w:p>
              </w:tc>
              <w:tc>
                <w:tcPr>
                  <w:tcW w:w="900" w:type="dxa"/>
                  <w:tcBorders>
                    <w:top w:val="nil"/>
                    <w:left w:val="nil"/>
                    <w:bottom w:val="double" w:sz="6" w:space="0" w:color="auto"/>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14,8</w:t>
                  </w:r>
                </w:p>
              </w:tc>
              <w:tc>
                <w:tcPr>
                  <w:tcW w:w="954" w:type="dxa"/>
                  <w:tcBorders>
                    <w:top w:val="nil"/>
                    <w:left w:val="nil"/>
                    <w:bottom w:val="double" w:sz="6" w:space="0" w:color="auto"/>
                    <w:right w:val="nil"/>
                  </w:tcBorders>
                  <w:shd w:val="clear" w:color="auto" w:fill="auto"/>
                  <w:noWrap/>
                  <w:vAlign w:val="bottom"/>
                </w:tcPr>
                <w:p w:rsidR="00A90A56" w:rsidRPr="00A90A56" w:rsidRDefault="00A90A56" w:rsidP="00A90A56">
                  <w:pPr>
                    <w:jc w:val="center"/>
                    <w:rPr>
                      <w:sz w:val="20"/>
                      <w:szCs w:val="20"/>
                      <w:lang w:val="tr-TR" w:eastAsia="tr-TR"/>
                    </w:rPr>
                  </w:pPr>
                  <w:r w:rsidRPr="00A90A56">
                    <w:rPr>
                      <w:sz w:val="20"/>
                      <w:szCs w:val="20"/>
                      <w:lang w:val="tr-TR" w:eastAsia="tr-TR"/>
                    </w:rPr>
                    <w:t>40,2</w:t>
                  </w:r>
                </w:p>
              </w:tc>
            </w:tr>
            <w:tr w:rsidR="00A90A56" w:rsidRPr="00A90A56">
              <w:trPr>
                <w:trHeight w:val="270"/>
                <w:jc w:val="center"/>
              </w:trPr>
              <w:tc>
                <w:tcPr>
                  <w:tcW w:w="8974" w:type="dxa"/>
                  <w:gridSpan w:val="5"/>
                  <w:tcBorders>
                    <w:top w:val="double" w:sz="6" w:space="0" w:color="auto"/>
                    <w:left w:val="nil"/>
                    <w:bottom w:val="nil"/>
                    <w:right w:val="nil"/>
                  </w:tcBorders>
                  <w:shd w:val="clear" w:color="auto" w:fill="auto"/>
                  <w:noWrap/>
                  <w:vAlign w:val="bottom"/>
                </w:tcPr>
                <w:p w:rsidR="00A90A56" w:rsidRPr="00A90A56" w:rsidRDefault="00A90A56" w:rsidP="00A90A56">
                  <w:pPr>
                    <w:rPr>
                      <w:sz w:val="20"/>
                      <w:szCs w:val="20"/>
                      <w:lang w:val="tr-TR" w:eastAsia="tr-TR"/>
                    </w:rPr>
                  </w:pPr>
                  <w:r w:rsidRPr="00A90A56">
                    <w:rPr>
                      <w:sz w:val="20"/>
                      <w:szCs w:val="20"/>
                      <w:lang w:val="tr-TR" w:eastAsia="tr-TR"/>
                    </w:rPr>
                    <w:t>Kaynak: Sigma Dergisi, 2006'da Dünya Sigortacılığı, No:4/2007</w:t>
                  </w:r>
                </w:p>
              </w:tc>
            </w:tr>
            <w:tr w:rsidR="00A90A56" w:rsidRPr="00A90A56">
              <w:trPr>
                <w:trHeight w:val="255"/>
                <w:jc w:val="center"/>
              </w:trPr>
              <w:tc>
                <w:tcPr>
                  <w:tcW w:w="8974" w:type="dxa"/>
                  <w:gridSpan w:val="5"/>
                  <w:tcBorders>
                    <w:top w:val="nil"/>
                    <w:left w:val="nil"/>
                    <w:bottom w:val="nil"/>
                    <w:right w:val="nil"/>
                  </w:tcBorders>
                  <w:shd w:val="clear" w:color="auto" w:fill="auto"/>
                  <w:noWrap/>
                  <w:vAlign w:val="bottom"/>
                </w:tcPr>
                <w:p w:rsidR="00A90A56" w:rsidRPr="00A90A56" w:rsidRDefault="00A90A56" w:rsidP="00A90A56">
                  <w:pPr>
                    <w:rPr>
                      <w:i/>
                      <w:iCs/>
                      <w:sz w:val="18"/>
                      <w:szCs w:val="18"/>
                      <w:lang w:val="tr-TR" w:eastAsia="tr-TR"/>
                    </w:rPr>
                  </w:pPr>
                  <w:r w:rsidRPr="00A90A56">
                    <w:rPr>
                      <w:i/>
                      <w:iCs/>
                      <w:sz w:val="18"/>
                      <w:szCs w:val="18"/>
                      <w:lang w:val="tr-TR" w:eastAsia="tr-TR"/>
                    </w:rPr>
                    <w:t>Source: Sigma Magazine, World Insurance in 2006, No: 4/2007</w:t>
                  </w:r>
                </w:p>
              </w:tc>
            </w:tr>
            <w:tr w:rsidR="00A90A56" w:rsidRPr="00A90A56">
              <w:trPr>
                <w:trHeight w:val="255"/>
                <w:jc w:val="center"/>
              </w:trPr>
              <w:tc>
                <w:tcPr>
                  <w:tcW w:w="5140" w:type="dxa"/>
                  <w:tcBorders>
                    <w:top w:val="nil"/>
                    <w:left w:val="nil"/>
                    <w:bottom w:val="nil"/>
                    <w:right w:val="nil"/>
                  </w:tcBorders>
                  <w:shd w:val="clear" w:color="auto" w:fill="auto"/>
                  <w:noWrap/>
                  <w:vAlign w:val="bottom"/>
                </w:tcPr>
                <w:p w:rsidR="00A90A56" w:rsidRPr="00A90A56" w:rsidRDefault="00A90A56" w:rsidP="00A90A56">
                  <w:pPr>
                    <w:rPr>
                      <w:i/>
                      <w:iCs/>
                      <w:sz w:val="20"/>
                      <w:szCs w:val="20"/>
                      <w:u w:val="single"/>
                      <w:lang w:val="tr-TR" w:eastAsia="tr-TR"/>
                    </w:rPr>
                  </w:pPr>
                  <w:hyperlink r:id="rId18" w:history="1">
                    <w:r w:rsidRPr="00A90A56">
                      <w:rPr>
                        <w:i/>
                        <w:iCs/>
                        <w:sz w:val="20"/>
                        <w:u w:val="single"/>
                        <w:lang w:val="tr-TR" w:eastAsia="tr-TR"/>
                      </w:rPr>
                      <w:t>www.swissre.com</w:t>
                    </w:r>
                  </w:hyperlink>
                </w:p>
              </w:tc>
              <w:tc>
                <w:tcPr>
                  <w:tcW w:w="1080" w:type="dxa"/>
                  <w:tcBorders>
                    <w:top w:val="nil"/>
                    <w:left w:val="nil"/>
                    <w:bottom w:val="nil"/>
                    <w:right w:val="nil"/>
                  </w:tcBorders>
                  <w:shd w:val="clear" w:color="auto" w:fill="auto"/>
                  <w:noWrap/>
                  <w:vAlign w:val="bottom"/>
                </w:tcPr>
                <w:p w:rsidR="00A90A56" w:rsidRPr="00A90A56" w:rsidRDefault="00A90A56" w:rsidP="00A90A56">
                  <w:pPr>
                    <w:rPr>
                      <w:rFonts w:ascii="Arial TUR" w:hAnsi="Arial TUR" w:cs="Arial TUR"/>
                      <w:sz w:val="20"/>
                      <w:szCs w:val="20"/>
                      <w:lang w:val="tr-TR" w:eastAsia="tr-TR"/>
                    </w:rPr>
                  </w:pPr>
                </w:p>
              </w:tc>
              <w:tc>
                <w:tcPr>
                  <w:tcW w:w="900" w:type="dxa"/>
                  <w:tcBorders>
                    <w:top w:val="nil"/>
                    <w:left w:val="nil"/>
                    <w:bottom w:val="nil"/>
                    <w:right w:val="nil"/>
                  </w:tcBorders>
                  <w:shd w:val="clear" w:color="auto" w:fill="auto"/>
                  <w:noWrap/>
                  <w:vAlign w:val="bottom"/>
                </w:tcPr>
                <w:p w:rsidR="00A90A56" w:rsidRPr="00A90A56" w:rsidRDefault="00A90A56" w:rsidP="00A90A56">
                  <w:pPr>
                    <w:rPr>
                      <w:rFonts w:ascii="Arial TUR" w:hAnsi="Arial TUR" w:cs="Arial TUR"/>
                      <w:sz w:val="20"/>
                      <w:szCs w:val="20"/>
                      <w:lang w:val="tr-TR" w:eastAsia="tr-TR"/>
                    </w:rPr>
                  </w:pPr>
                </w:p>
              </w:tc>
              <w:tc>
                <w:tcPr>
                  <w:tcW w:w="900" w:type="dxa"/>
                  <w:tcBorders>
                    <w:top w:val="nil"/>
                    <w:left w:val="nil"/>
                    <w:bottom w:val="nil"/>
                    <w:right w:val="nil"/>
                  </w:tcBorders>
                  <w:shd w:val="clear" w:color="auto" w:fill="auto"/>
                  <w:noWrap/>
                  <w:vAlign w:val="bottom"/>
                </w:tcPr>
                <w:p w:rsidR="00A90A56" w:rsidRPr="00A90A56" w:rsidRDefault="00A90A56" w:rsidP="00A90A56">
                  <w:pPr>
                    <w:rPr>
                      <w:rFonts w:ascii="Arial TUR" w:hAnsi="Arial TUR" w:cs="Arial TUR"/>
                      <w:sz w:val="20"/>
                      <w:szCs w:val="20"/>
                      <w:lang w:val="tr-TR" w:eastAsia="tr-TR"/>
                    </w:rPr>
                  </w:pPr>
                </w:p>
              </w:tc>
              <w:tc>
                <w:tcPr>
                  <w:tcW w:w="954" w:type="dxa"/>
                  <w:tcBorders>
                    <w:top w:val="nil"/>
                    <w:left w:val="nil"/>
                    <w:bottom w:val="nil"/>
                    <w:right w:val="nil"/>
                  </w:tcBorders>
                  <w:shd w:val="clear" w:color="auto" w:fill="auto"/>
                  <w:noWrap/>
                  <w:vAlign w:val="bottom"/>
                </w:tcPr>
                <w:p w:rsidR="00A90A56" w:rsidRPr="00A90A56" w:rsidRDefault="00A90A56" w:rsidP="00A90A56">
                  <w:pPr>
                    <w:rPr>
                      <w:rFonts w:ascii="Arial TUR" w:hAnsi="Arial TUR" w:cs="Arial TUR"/>
                      <w:sz w:val="20"/>
                      <w:szCs w:val="20"/>
                      <w:lang w:val="tr-TR" w:eastAsia="tr-TR"/>
                    </w:rPr>
                  </w:pPr>
                </w:p>
              </w:tc>
            </w:tr>
          </w:tbl>
          <w:p w:rsidR="00AF54EB" w:rsidRPr="00A90A56" w:rsidRDefault="00AF54EB" w:rsidP="002D3D31">
            <w:pPr>
              <w:jc w:val="center"/>
              <w:rPr>
                <w:rFonts w:ascii="Century" w:hAnsi="Century"/>
                <w:lang w:val="tr-TR"/>
              </w:rPr>
            </w:pPr>
          </w:p>
        </w:tc>
      </w:tr>
      <w:tr w:rsidR="001700F0" w:rsidRPr="00367FA3">
        <w:tc>
          <w:tcPr>
            <w:tcW w:w="4815" w:type="dxa"/>
            <w:gridSpan w:val="2"/>
          </w:tcPr>
          <w:p w:rsidR="00B86F8F" w:rsidRPr="00367FA3" w:rsidRDefault="00B86F8F" w:rsidP="008D17FE">
            <w:pPr>
              <w:jc w:val="both"/>
              <w:rPr>
                <w:rFonts w:ascii="Century" w:hAnsi="Century"/>
                <w:highlight w:val="yellow"/>
                <w:lang w:val="tr-TR"/>
              </w:rPr>
            </w:pPr>
          </w:p>
          <w:p w:rsidR="004752E2" w:rsidRPr="00367FA3" w:rsidRDefault="004752E2" w:rsidP="008D17FE">
            <w:pPr>
              <w:jc w:val="both"/>
              <w:rPr>
                <w:rFonts w:ascii="Century" w:hAnsi="Century"/>
                <w:highlight w:val="yellow"/>
                <w:lang w:val="tr-TR"/>
              </w:rPr>
            </w:pPr>
          </w:p>
          <w:p w:rsidR="007B7F0D" w:rsidRPr="00013875" w:rsidRDefault="007B7F0D" w:rsidP="008D17FE">
            <w:pPr>
              <w:jc w:val="both"/>
              <w:rPr>
                <w:rFonts w:ascii="Century" w:hAnsi="Century"/>
                <w:lang w:val="tr-TR"/>
              </w:rPr>
            </w:pPr>
            <w:r w:rsidRPr="00D02073">
              <w:rPr>
                <w:rFonts w:ascii="Century" w:hAnsi="Century"/>
                <w:lang w:val="tr-TR"/>
              </w:rPr>
              <w:t xml:space="preserve">Türkiye, </w:t>
            </w:r>
            <w:r w:rsidR="00D02073" w:rsidRPr="00D02073">
              <w:rPr>
                <w:rFonts w:ascii="Century" w:hAnsi="Century"/>
                <w:lang w:val="tr-TR"/>
              </w:rPr>
              <w:t>2006</w:t>
            </w:r>
            <w:r w:rsidR="008B4570">
              <w:rPr>
                <w:rFonts w:ascii="Century" w:hAnsi="Century"/>
                <w:lang w:val="tr-TR"/>
              </w:rPr>
              <w:t xml:space="preserve"> </w:t>
            </w:r>
            <w:r w:rsidR="008B4570" w:rsidRPr="008B4570">
              <w:rPr>
                <w:rFonts w:ascii="Century" w:hAnsi="Century"/>
                <w:lang w:val="tr-TR"/>
              </w:rPr>
              <w:t>yılında %0,18 pay ile dünya prim üretiminde 87 ülke arasında</w:t>
            </w:r>
            <w:r w:rsidR="003B70A6" w:rsidRPr="00D02073">
              <w:rPr>
                <w:rFonts w:ascii="Century" w:hAnsi="Century"/>
                <w:lang w:val="tr-TR"/>
              </w:rPr>
              <w:t xml:space="preserve"> </w:t>
            </w:r>
            <w:r w:rsidRPr="00D02073">
              <w:rPr>
                <w:rFonts w:ascii="Century" w:hAnsi="Century"/>
                <w:lang w:val="tr-TR"/>
              </w:rPr>
              <w:t>35’inci sırada yer alm</w:t>
            </w:r>
            <w:r w:rsidR="003B70A6" w:rsidRPr="00D02073">
              <w:rPr>
                <w:rFonts w:ascii="Century" w:hAnsi="Century"/>
                <w:lang w:val="tr-TR"/>
              </w:rPr>
              <w:t>ıştır.</w:t>
            </w:r>
            <w:r w:rsidRPr="00D02073">
              <w:rPr>
                <w:rFonts w:ascii="Century" w:hAnsi="Century"/>
                <w:lang w:val="tr-TR"/>
              </w:rPr>
              <w:t xml:space="preserve"> Prim üretim</w:t>
            </w:r>
            <w:r w:rsidR="003B70A6" w:rsidRPr="00D02073">
              <w:rPr>
                <w:rFonts w:ascii="Century" w:hAnsi="Century"/>
                <w:lang w:val="tr-TR"/>
              </w:rPr>
              <w:t>inin</w:t>
            </w:r>
            <w:r w:rsidRPr="00D02073">
              <w:rPr>
                <w:rFonts w:ascii="Century" w:hAnsi="Century"/>
                <w:lang w:val="tr-TR"/>
              </w:rPr>
              <w:t xml:space="preserve"> GSYİH’ye oran</w:t>
            </w:r>
            <w:r w:rsidR="00D02073" w:rsidRPr="00D02073">
              <w:rPr>
                <w:rFonts w:ascii="Century" w:hAnsi="Century"/>
                <w:lang w:val="tr-TR"/>
              </w:rPr>
              <w:t>ına göre yapılan sıralamada 68</w:t>
            </w:r>
            <w:r w:rsidR="00F967AF" w:rsidRPr="00D02073">
              <w:rPr>
                <w:rFonts w:ascii="Century" w:hAnsi="Century"/>
                <w:lang w:val="tr-TR"/>
              </w:rPr>
              <w:t>’</w:t>
            </w:r>
            <w:r w:rsidR="00D02073" w:rsidRPr="00D02073">
              <w:rPr>
                <w:rFonts w:ascii="Century" w:hAnsi="Century"/>
                <w:lang w:val="tr-TR"/>
              </w:rPr>
              <w:t>inci</w:t>
            </w:r>
            <w:r w:rsidR="00F967AF" w:rsidRPr="00D02073">
              <w:rPr>
                <w:rFonts w:ascii="Century" w:hAnsi="Century"/>
                <w:lang w:val="tr-TR"/>
              </w:rPr>
              <w:t xml:space="preserve"> </w:t>
            </w:r>
            <w:r w:rsidR="003B70A6" w:rsidRPr="00D02073">
              <w:rPr>
                <w:rFonts w:ascii="Century" w:hAnsi="Century"/>
                <w:lang w:val="tr-TR"/>
              </w:rPr>
              <w:t>sırada yer alan</w:t>
            </w:r>
            <w:r w:rsidRPr="00D02073">
              <w:rPr>
                <w:rFonts w:ascii="Century" w:hAnsi="Century"/>
                <w:lang w:val="tr-TR"/>
              </w:rPr>
              <w:t xml:space="preserve"> Türkiye, kişi başı prim üretiminde ise 61’inciliğe </w:t>
            </w:r>
            <w:r w:rsidR="003B70A6" w:rsidRPr="00D02073">
              <w:rPr>
                <w:rFonts w:ascii="Century" w:hAnsi="Century"/>
                <w:lang w:val="tr-TR"/>
              </w:rPr>
              <w:t>yükselmektedir.</w:t>
            </w:r>
            <w:r w:rsidRPr="00D02073">
              <w:rPr>
                <w:rFonts w:ascii="Century" w:hAnsi="Century"/>
                <w:lang w:val="tr-TR"/>
              </w:rPr>
              <w:t xml:space="preserve"> </w:t>
            </w:r>
            <w:r w:rsidR="00013875">
              <w:rPr>
                <w:rFonts w:ascii="Century" w:hAnsi="Century"/>
                <w:lang w:val="tr-TR"/>
              </w:rPr>
              <w:t>Kişi başına prim ü</w:t>
            </w:r>
            <w:r w:rsidR="003B70A6" w:rsidRPr="00013875">
              <w:rPr>
                <w:rFonts w:ascii="Century" w:hAnsi="Century"/>
                <w:lang w:val="tr-TR"/>
              </w:rPr>
              <w:t xml:space="preserve">retimine göre Avrupa ülkeleri arasında bir değerlendirme yapıldığında ise, </w:t>
            </w:r>
            <w:r w:rsidRPr="00013875">
              <w:rPr>
                <w:rFonts w:ascii="Century" w:hAnsi="Century"/>
                <w:lang w:val="tr-TR"/>
              </w:rPr>
              <w:t>Türkiye</w:t>
            </w:r>
            <w:r w:rsidR="00013875" w:rsidRPr="00013875">
              <w:rPr>
                <w:rFonts w:ascii="Century" w:hAnsi="Century"/>
                <w:lang w:val="tr-TR"/>
              </w:rPr>
              <w:t xml:space="preserve"> 34 ülke arasından</w:t>
            </w:r>
            <w:r w:rsidRPr="00013875">
              <w:rPr>
                <w:rFonts w:ascii="Century" w:hAnsi="Century"/>
                <w:lang w:val="tr-TR"/>
              </w:rPr>
              <w:t xml:space="preserve"> </w:t>
            </w:r>
            <w:r w:rsidR="00013875" w:rsidRPr="00013875">
              <w:rPr>
                <w:rFonts w:ascii="Century" w:hAnsi="Century"/>
                <w:lang w:val="tr-TR"/>
              </w:rPr>
              <w:t>32</w:t>
            </w:r>
            <w:r w:rsidRPr="00013875">
              <w:rPr>
                <w:rFonts w:ascii="Century" w:hAnsi="Century"/>
                <w:lang w:val="tr-TR"/>
              </w:rPr>
              <w:t>’</w:t>
            </w:r>
            <w:r w:rsidR="00013875" w:rsidRPr="00013875">
              <w:rPr>
                <w:rFonts w:ascii="Century" w:hAnsi="Century"/>
                <w:lang w:val="tr-TR"/>
              </w:rPr>
              <w:t xml:space="preserve"> nci</w:t>
            </w:r>
            <w:r w:rsidRPr="00013875">
              <w:rPr>
                <w:rFonts w:ascii="Century" w:hAnsi="Century"/>
                <w:lang w:val="tr-TR"/>
              </w:rPr>
              <w:t xml:space="preserve"> sırada yer almaktadır.</w:t>
            </w:r>
          </w:p>
          <w:p w:rsidR="00994F98" w:rsidRPr="00367FA3" w:rsidRDefault="00994F98" w:rsidP="008D17FE">
            <w:pPr>
              <w:rPr>
                <w:rFonts w:ascii="Century" w:hAnsi="Century"/>
                <w:highlight w:val="yellow"/>
                <w:lang w:val="tr-TR"/>
              </w:rPr>
            </w:pPr>
          </w:p>
          <w:p w:rsidR="004752E2" w:rsidRPr="00367FA3" w:rsidRDefault="004752E2" w:rsidP="008D17FE">
            <w:pPr>
              <w:rPr>
                <w:rFonts w:ascii="Century" w:hAnsi="Century"/>
                <w:highlight w:val="yellow"/>
                <w:lang w:val="tr-TR"/>
              </w:rPr>
            </w:pPr>
          </w:p>
        </w:tc>
        <w:tc>
          <w:tcPr>
            <w:tcW w:w="236" w:type="dxa"/>
            <w:gridSpan w:val="2"/>
          </w:tcPr>
          <w:p w:rsidR="001700F0" w:rsidRPr="00367FA3" w:rsidRDefault="001700F0" w:rsidP="008D17FE">
            <w:pPr>
              <w:rPr>
                <w:rFonts w:ascii="Century" w:hAnsi="Century"/>
                <w:highlight w:val="yellow"/>
                <w:lang w:val="tr-TR"/>
              </w:rPr>
            </w:pPr>
          </w:p>
        </w:tc>
        <w:tc>
          <w:tcPr>
            <w:tcW w:w="4804" w:type="dxa"/>
          </w:tcPr>
          <w:p w:rsidR="00716110" w:rsidRPr="00C43A16" w:rsidRDefault="00716110" w:rsidP="00716110">
            <w:pPr>
              <w:ind w:right="-108"/>
              <w:jc w:val="both"/>
              <w:rPr>
                <w:rFonts w:ascii="Century" w:hAnsi="Century"/>
                <w:color w:val="000000"/>
                <w:highlight w:val="yellow"/>
                <w:lang w:val="tr-TR"/>
              </w:rPr>
            </w:pPr>
          </w:p>
          <w:p w:rsidR="004752E2" w:rsidRPr="00C43A16" w:rsidRDefault="004752E2" w:rsidP="00716110">
            <w:pPr>
              <w:jc w:val="both"/>
              <w:rPr>
                <w:rFonts w:ascii="Century" w:hAnsi="Century"/>
                <w:color w:val="808080"/>
                <w:highlight w:val="yellow"/>
                <w:lang w:val="tr-TR"/>
              </w:rPr>
            </w:pPr>
          </w:p>
          <w:p w:rsidR="00716110" w:rsidRPr="00CF3FF2" w:rsidRDefault="00716110" w:rsidP="00716110">
            <w:pPr>
              <w:jc w:val="both"/>
              <w:rPr>
                <w:rFonts w:ascii="Century" w:hAnsi="Century"/>
                <w:color w:val="404040"/>
                <w:highlight w:val="yellow"/>
              </w:rPr>
            </w:pPr>
            <w:r w:rsidRPr="00CF3FF2">
              <w:rPr>
                <w:rFonts w:ascii="Century" w:hAnsi="Century"/>
                <w:color w:val="404040"/>
              </w:rPr>
              <w:t>Turkish insurance sector took 35</w:t>
            </w:r>
            <w:r w:rsidRPr="00CF3FF2">
              <w:rPr>
                <w:rFonts w:ascii="Century" w:hAnsi="Century"/>
                <w:color w:val="404040"/>
                <w:vertAlign w:val="superscript"/>
              </w:rPr>
              <w:t>th</w:t>
            </w:r>
            <w:r w:rsidR="00D02073" w:rsidRPr="00CF3FF2">
              <w:rPr>
                <w:rFonts w:ascii="Century" w:hAnsi="Century"/>
                <w:color w:val="404040"/>
              </w:rPr>
              <w:t xml:space="preserve"> place within 87 countries with a share of 0.18</w:t>
            </w:r>
            <w:r w:rsidRPr="00CF3FF2">
              <w:rPr>
                <w:rFonts w:ascii="Century" w:hAnsi="Century"/>
                <w:color w:val="404040"/>
              </w:rPr>
              <w:t xml:space="preserve">% in global premium production. According to ratios of premium </w:t>
            </w:r>
            <w:r w:rsidR="00D1742F" w:rsidRPr="00CF3FF2">
              <w:rPr>
                <w:rFonts w:ascii="Century" w:hAnsi="Century"/>
                <w:color w:val="404040"/>
              </w:rPr>
              <w:t>volume</w:t>
            </w:r>
            <w:r w:rsidRPr="00CF3FF2">
              <w:rPr>
                <w:rFonts w:ascii="Century" w:hAnsi="Century"/>
                <w:color w:val="404040"/>
              </w:rPr>
              <w:t xml:space="preserve"> to </w:t>
            </w:r>
            <w:smartTag w:uri="urn:schemas-microsoft-com:office:smarttags" w:element="stockticker">
              <w:r w:rsidRPr="00CF3FF2">
                <w:rPr>
                  <w:rFonts w:ascii="Century" w:hAnsi="Century"/>
                  <w:color w:val="404040"/>
                </w:rPr>
                <w:t>GDP</w:t>
              </w:r>
            </w:smartTag>
            <w:r w:rsidRPr="00CF3FF2">
              <w:rPr>
                <w:rFonts w:ascii="Century" w:hAnsi="Century"/>
                <w:color w:val="404040"/>
              </w:rPr>
              <w:t xml:space="preserve"> and </w:t>
            </w:r>
            <w:r w:rsidR="004C332F" w:rsidRPr="00CF3FF2">
              <w:rPr>
                <w:rFonts w:ascii="Century" w:hAnsi="Century"/>
                <w:color w:val="404040"/>
              </w:rPr>
              <w:t xml:space="preserve">premium volume </w:t>
            </w:r>
            <w:r w:rsidRPr="00CF3FF2">
              <w:rPr>
                <w:rFonts w:ascii="Century" w:hAnsi="Century"/>
                <w:color w:val="404040"/>
              </w:rPr>
              <w:t>per capi</w:t>
            </w:r>
            <w:r w:rsidR="00D02073" w:rsidRPr="00CF3FF2">
              <w:rPr>
                <w:rFonts w:ascii="Century" w:hAnsi="Century"/>
                <w:color w:val="404040"/>
              </w:rPr>
              <w:t>ta, insurance market has been 68</w:t>
            </w:r>
            <w:r w:rsidRPr="00CF3FF2">
              <w:rPr>
                <w:rFonts w:ascii="Century" w:hAnsi="Century"/>
                <w:color w:val="404040"/>
                <w:vertAlign w:val="superscript"/>
              </w:rPr>
              <w:t>th</w:t>
            </w:r>
            <w:r w:rsidRPr="00CF3FF2">
              <w:rPr>
                <w:rFonts w:ascii="Century" w:hAnsi="Century"/>
                <w:color w:val="404040"/>
              </w:rPr>
              <w:t xml:space="preserve"> and 61</w:t>
            </w:r>
            <w:r w:rsidR="00F967AF" w:rsidRPr="00CF3FF2">
              <w:rPr>
                <w:rFonts w:ascii="Century" w:hAnsi="Century"/>
                <w:color w:val="404040"/>
                <w:vertAlign w:val="superscript"/>
              </w:rPr>
              <w:t>st</w:t>
            </w:r>
            <w:r w:rsidR="00F967AF" w:rsidRPr="00CF3FF2">
              <w:rPr>
                <w:rFonts w:ascii="Century" w:hAnsi="Century"/>
                <w:color w:val="404040"/>
              </w:rPr>
              <w:t xml:space="preserve">, </w:t>
            </w:r>
            <w:r w:rsidRPr="00CF3FF2">
              <w:rPr>
                <w:rFonts w:ascii="Century" w:hAnsi="Century"/>
                <w:color w:val="404040"/>
              </w:rPr>
              <w:t xml:space="preserve">respectively. </w:t>
            </w:r>
            <w:smartTag w:uri="urn:schemas-microsoft-com:office:smarttags" w:element="place">
              <w:smartTag w:uri="urn:schemas-microsoft-com:office:smarttags" w:element="country-region">
                <w:r w:rsidR="00013875" w:rsidRPr="00CF3FF2">
                  <w:rPr>
                    <w:rFonts w:ascii="Century" w:hAnsi="Century"/>
                    <w:color w:val="404040"/>
                  </w:rPr>
                  <w:t>Turkey</w:t>
                </w:r>
              </w:smartTag>
            </w:smartTag>
            <w:r w:rsidR="00013875" w:rsidRPr="00CF3FF2">
              <w:rPr>
                <w:rFonts w:ascii="Century" w:hAnsi="Century"/>
                <w:color w:val="404040"/>
              </w:rPr>
              <w:t xml:space="preserve"> has a rank of 32 over total of 34 European Countries in premium volume per capita.</w:t>
            </w:r>
          </w:p>
          <w:p w:rsidR="001700F0" w:rsidRPr="00367FA3" w:rsidRDefault="001700F0" w:rsidP="008D17FE">
            <w:pPr>
              <w:rPr>
                <w:rFonts w:ascii="Century" w:hAnsi="Century"/>
                <w:highlight w:val="yellow"/>
                <w:lang w:val="tr-TR"/>
              </w:rPr>
            </w:pPr>
          </w:p>
        </w:tc>
      </w:tr>
      <w:tr w:rsidR="007B7F0D" w:rsidRPr="00367FA3">
        <w:tc>
          <w:tcPr>
            <w:tcW w:w="9855" w:type="dxa"/>
            <w:gridSpan w:val="5"/>
          </w:tcPr>
          <w:p w:rsidR="007B7F0D" w:rsidRPr="00013875" w:rsidRDefault="007B7F0D" w:rsidP="002D3D31">
            <w:pPr>
              <w:pStyle w:val="ResimYazs"/>
              <w:jc w:val="center"/>
              <w:rPr>
                <w:rFonts w:ascii="Century" w:hAnsi="Century"/>
                <w:lang w:val="tr-TR"/>
              </w:rPr>
            </w:pPr>
            <w:bookmarkStart w:id="9" w:name="_Toc170665523"/>
            <w:r w:rsidRPr="00013875">
              <w:rPr>
                <w:rFonts w:ascii="Century" w:hAnsi="Century"/>
                <w:lang w:val="tr-TR"/>
              </w:rPr>
              <w:t xml:space="preserve">Tablo </w:t>
            </w:r>
            <w:r w:rsidR="00C31AF3" w:rsidRPr="00013875">
              <w:rPr>
                <w:rFonts w:ascii="Century" w:hAnsi="Century"/>
                <w:lang w:val="tr-TR"/>
              </w:rPr>
              <w:t>1</w:t>
            </w:r>
            <w:r w:rsidR="00882D23" w:rsidRPr="00013875">
              <w:rPr>
                <w:rFonts w:ascii="Century" w:hAnsi="Century"/>
                <w:lang w:val="tr-TR"/>
              </w:rPr>
              <w:t>.1</w:t>
            </w:r>
            <w:r w:rsidRPr="00013875">
              <w:rPr>
                <w:rFonts w:ascii="Century" w:hAnsi="Century"/>
                <w:lang w:val="tr-TR"/>
              </w:rPr>
              <w:noBreakHyphen/>
            </w:r>
            <w:r w:rsidRPr="00013875">
              <w:rPr>
                <w:rFonts w:ascii="Century" w:hAnsi="Century"/>
                <w:lang w:val="tr-TR"/>
              </w:rPr>
              <w:fldChar w:fldCharType="begin"/>
            </w:r>
            <w:r w:rsidRPr="00013875">
              <w:rPr>
                <w:rFonts w:ascii="Century" w:hAnsi="Century"/>
                <w:lang w:val="tr-TR"/>
              </w:rPr>
              <w:instrText xml:space="preserve"> SEQ Tablo \* ARABIC \s 2 </w:instrText>
            </w:r>
            <w:r w:rsidRPr="00013875">
              <w:rPr>
                <w:rFonts w:ascii="Century" w:hAnsi="Century"/>
                <w:lang w:val="tr-TR"/>
              </w:rPr>
              <w:fldChar w:fldCharType="separate"/>
            </w:r>
            <w:r w:rsidR="00DA718E">
              <w:rPr>
                <w:rFonts w:ascii="Century" w:hAnsi="Century"/>
                <w:noProof/>
                <w:lang w:val="tr-TR"/>
              </w:rPr>
              <w:t>3</w:t>
            </w:r>
            <w:r w:rsidRPr="00013875">
              <w:rPr>
                <w:rFonts w:ascii="Century" w:hAnsi="Century"/>
                <w:lang w:val="tr-TR"/>
              </w:rPr>
              <w:fldChar w:fldCharType="end"/>
            </w:r>
            <w:r w:rsidRPr="00013875">
              <w:rPr>
                <w:rFonts w:ascii="Century" w:hAnsi="Century"/>
                <w:lang w:val="tr-TR"/>
              </w:rPr>
              <w:t xml:space="preserve">; </w:t>
            </w:r>
            <w:r w:rsidRPr="00013875">
              <w:rPr>
                <w:rFonts w:ascii="Century" w:hAnsi="Century"/>
                <w:bCs w:val="0"/>
                <w:lang w:val="tr-TR"/>
              </w:rPr>
              <w:t>Kişi Başına Prim Üretimi (ABD Doları)</w:t>
            </w:r>
            <w:r w:rsidRPr="00013875">
              <w:rPr>
                <w:rFonts w:ascii="Century" w:hAnsi="Century"/>
                <w:lang w:val="tr-TR"/>
              </w:rPr>
              <w:t xml:space="preserve"> - </w:t>
            </w:r>
            <w:r w:rsidRPr="00013875">
              <w:rPr>
                <w:rFonts w:ascii="Century" w:hAnsi="Century"/>
                <w:b w:val="0"/>
                <w:i/>
                <w:iCs/>
                <w:lang w:val="tr-TR"/>
              </w:rPr>
              <w:t>Premium Per Capita (USD)</w:t>
            </w:r>
            <w:bookmarkEnd w:id="9"/>
          </w:p>
          <w:p w:rsidR="007B7F0D" w:rsidRPr="00357B39" w:rsidRDefault="00357B39" w:rsidP="002D3D31">
            <w:pPr>
              <w:jc w:val="center"/>
              <w:rPr>
                <w:rFonts w:ascii="Century" w:hAnsi="Century"/>
                <w:highlight w:val="yellow"/>
                <w:lang w:val="tr-TR"/>
              </w:rPr>
            </w:pPr>
            <w:r w:rsidRPr="00357B39">
              <w:rPr>
                <w:rFonts w:ascii="Century" w:hAnsi="Century"/>
                <w:lang w:val="tr-TR"/>
              </w:rPr>
              <w:pict>
                <v:shape id="_x0000_i1029" type="#_x0000_t75" style="width:376.5pt;height:96pt">
                  <v:imagedata r:id="rId19" o:title=""/>
                </v:shape>
              </w:pict>
            </w:r>
          </w:p>
        </w:tc>
      </w:tr>
      <w:tr w:rsidR="007B7F0D" w:rsidRPr="00367FA3">
        <w:tc>
          <w:tcPr>
            <w:tcW w:w="5051" w:type="dxa"/>
            <w:gridSpan w:val="4"/>
          </w:tcPr>
          <w:p w:rsidR="00994F98" w:rsidRPr="00565661" w:rsidRDefault="00994F98" w:rsidP="008D17FE">
            <w:pPr>
              <w:jc w:val="both"/>
              <w:rPr>
                <w:rFonts w:ascii="Century" w:hAnsi="Century"/>
                <w:lang w:val="tr-TR"/>
              </w:rPr>
            </w:pPr>
          </w:p>
          <w:p w:rsidR="00F4452B" w:rsidRDefault="007B7F0D" w:rsidP="0081134A">
            <w:pPr>
              <w:jc w:val="both"/>
              <w:rPr>
                <w:rFonts w:ascii="Century" w:hAnsi="Century"/>
                <w:lang w:val="tr-TR"/>
              </w:rPr>
            </w:pPr>
            <w:r w:rsidRPr="00565661">
              <w:rPr>
                <w:rFonts w:ascii="Century" w:hAnsi="Century"/>
                <w:lang w:val="tr-TR"/>
              </w:rPr>
              <w:t xml:space="preserve">Sigortacılık sektöründe kişi başına düşen prim üretimi ve prim üretiminin hayat/hayat dışı dağılımı ile GSYİH’ye oranı AB ülkeleri ile karşılaştırıldığında, Türkiye’de hayat dışı sigortacılığın hayat sigortacılığından daha etkin olduğu ve sigortacılık sektörünün </w:t>
            </w:r>
            <w:r w:rsidR="00F967AF" w:rsidRPr="00565661">
              <w:rPr>
                <w:rFonts w:ascii="Century" w:hAnsi="Century"/>
                <w:lang w:val="tr-TR"/>
              </w:rPr>
              <w:t xml:space="preserve">hızlı bir </w:t>
            </w:r>
            <w:r w:rsidRPr="00565661">
              <w:rPr>
                <w:rFonts w:ascii="Century" w:hAnsi="Century"/>
                <w:lang w:val="tr-TR"/>
              </w:rPr>
              <w:t>büyüme eğilimi göster</w:t>
            </w:r>
            <w:r w:rsidR="00F967AF" w:rsidRPr="00565661">
              <w:rPr>
                <w:rFonts w:ascii="Century" w:hAnsi="Century"/>
                <w:lang w:val="tr-TR"/>
              </w:rPr>
              <w:t xml:space="preserve">diği, ancak </w:t>
            </w:r>
            <w:r w:rsidRPr="00565661">
              <w:rPr>
                <w:rFonts w:ascii="Century" w:hAnsi="Century"/>
                <w:lang w:val="tr-TR"/>
              </w:rPr>
              <w:t>GSYİH içinde</w:t>
            </w:r>
            <w:r w:rsidR="00F967AF" w:rsidRPr="00565661">
              <w:rPr>
                <w:rFonts w:ascii="Century" w:hAnsi="Century"/>
                <w:lang w:val="tr-TR"/>
              </w:rPr>
              <w:t>ki</w:t>
            </w:r>
            <w:r w:rsidRPr="00565661">
              <w:rPr>
                <w:rFonts w:ascii="Century" w:hAnsi="Century"/>
                <w:lang w:val="tr-TR"/>
              </w:rPr>
              <w:t xml:space="preserve"> </w:t>
            </w:r>
            <w:r w:rsidR="00F967AF" w:rsidRPr="00565661">
              <w:rPr>
                <w:rFonts w:ascii="Century" w:hAnsi="Century"/>
                <w:lang w:val="tr-TR"/>
              </w:rPr>
              <w:t xml:space="preserve">payının </w:t>
            </w:r>
            <w:r w:rsidR="00174660" w:rsidRPr="00565661">
              <w:rPr>
                <w:rFonts w:ascii="Century" w:hAnsi="Century"/>
                <w:lang w:val="tr-TR"/>
              </w:rPr>
              <w:t>halen düşük</w:t>
            </w:r>
            <w:r w:rsidRPr="00565661">
              <w:rPr>
                <w:rFonts w:ascii="Century" w:hAnsi="Century"/>
                <w:lang w:val="tr-TR"/>
              </w:rPr>
              <w:t xml:space="preserve"> olduğu görülmektedir.</w:t>
            </w:r>
          </w:p>
          <w:p w:rsidR="007B7F0D" w:rsidRDefault="007B7F0D" w:rsidP="0081134A">
            <w:pPr>
              <w:jc w:val="both"/>
              <w:rPr>
                <w:rFonts w:ascii="Century" w:hAnsi="Century"/>
                <w:lang w:val="tr-TR"/>
              </w:rPr>
            </w:pPr>
            <w:r w:rsidRPr="00565661">
              <w:rPr>
                <w:rFonts w:ascii="Century" w:hAnsi="Century"/>
                <w:lang w:val="tr-TR"/>
              </w:rPr>
              <w:t xml:space="preserve"> </w:t>
            </w:r>
          </w:p>
          <w:p w:rsidR="00306DFE" w:rsidRPr="00565661" w:rsidRDefault="00306DFE" w:rsidP="0081134A">
            <w:pPr>
              <w:jc w:val="both"/>
              <w:rPr>
                <w:rFonts w:ascii="Century" w:hAnsi="Century"/>
                <w:lang w:val="tr-TR"/>
              </w:rPr>
            </w:pPr>
          </w:p>
          <w:p w:rsidR="007B7F0D" w:rsidRPr="00565661" w:rsidRDefault="007B7F0D" w:rsidP="00306DFE">
            <w:pPr>
              <w:pStyle w:val="Balk2"/>
              <w:spacing w:before="0" w:after="0"/>
              <w:ind w:left="91"/>
              <w:rPr>
                <w:rFonts w:ascii="Century" w:hAnsi="Century"/>
                <w:i w:val="0"/>
                <w:sz w:val="24"/>
                <w:szCs w:val="24"/>
                <w:lang w:val="tr-TR"/>
              </w:rPr>
            </w:pPr>
            <w:bookmarkStart w:id="10" w:name="_Toc170253084"/>
            <w:bookmarkStart w:id="11" w:name="_Toc198287690"/>
            <w:bookmarkStart w:id="12" w:name="_Toc199251236"/>
            <w:r w:rsidRPr="00565661">
              <w:rPr>
                <w:rFonts w:ascii="Century" w:hAnsi="Century"/>
                <w:i w:val="0"/>
                <w:sz w:val="24"/>
                <w:szCs w:val="24"/>
                <w:lang w:val="tr-TR"/>
              </w:rPr>
              <w:lastRenderedPageBreak/>
              <w:t>Finansal Sistem İçerisindeki Yeri</w:t>
            </w:r>
            <w:bookmarkEnd w:id="10"/>
            <w:bookmarkEnd w:id="11"/>
            <w:bookmarkEnd w:id="12"/>
          </w:p>
          <w:p w:rsidR="00880075" w:rsidRPr="00565661" w:rsidRDefault="00880075" w:rsidP="0081134A">
            <w:pPr>
              <w:jc w:val="both"/>
              <w:rPr>
                <w:rFonts w:ascii="Century" w:hAnsi="Century"/>
                <w:lang w:val="tr-TR"/>
              </w:rPr>
            </w:pPr>
          </w:p>
          <w:p w:rsidR="00B2605C" w:rsidRPr="00565661" w:rsidRDefault="00903D68" w:rsidP="00EF2418">
            <w:pPr>
              <w:jc w:val="both"/>
              <w:rPr>
                <w:rFonts w:ascii="Century" w:hAnsi="Century"/>
                <w:lang w:val="tr-TR"/>
              </w:rPr>
            </w:pPr>
            <w:r w:rsidRPr="00903D68">
              <w:rPr>
                <w:rFonts w:ascii="Century" w:hAnsi="Century"/>
                <w:lang w:val="tr-TR"/>
              </w:rPr>
              <w:t>Türkiye’de finans sektörünün varlık</w:t>
            </w:r>
            <w:r w:rsidRPr="00565661">
              <w:rPr>
                <w:rFonts w:ascii="Century" w:hAnsi="Century"/>
                <w:lang w:val="tr-TR"/>
              </w:rPr>
              <w:t xml:space="preserve"> </w:t>
            </w:r>
            <w:r w:rsidR="007A6865" w:rsidRPr="00903D68">
              <w:rPr>
                <w:rFonts w:ascii="Century" w:hAnsi="Century"/>
                <w:lang w:val="tr-TR"/>
              </w:rPr>
              <w:t>toplamı</w:t>
            </w:r>
            <w:r w:rsidR="007B7F0D" w:rsidRPr="00903D68">
              <w:rPr>
                <w:rFonts w:ascii="Century" w:hAnsi="Century"/>
                <w:lang w:val="tr-TR"/>
              </w:rPr>
              <w:t xml:space="preserve"> </w:t>
            </w:r>
            <w:r w:rsidR="008A7FCA" w:rsidRPr="00903D68">
              <w:rPr>
                <w:rFonts w:ascii="Century" w:hAnsi="Century"/>
                <w:lang w:val="tr-TR"/>
              </w:rPr>
              <w:t>2</w:t>
            </w:r>
            <w:r w:rsidR="008A7FCA">
              <w:rPr>
                <w:rFonts w:ascii="Century" w:hAnsi="Century"/>
                <w:lang w:val="tr-TR"/>
              </w:rPr>
              <w:t xml:space="preserve">007 yıl sonu </w:t>
            </w:r>
            <w:r w:rsidR="00616DE5">
              <w:rPr>
                <w:rFonts w:ascii="Century" w:hAnsi="Century"/>
                <w:lang w:val="tr-TR"/>
              </w:rPr>
              <w:t>itibariyle 7</w:t>
            </w:r>
            <w:r w:rsidR="008A7FCA">
              <w:rPr>
                <w:rFonts w:ascii="Century" w:hAnsi="Century"/>
                <w:lang w:val="tr-TR"/>
              </w:rPr>
              <w:t>71,5</w:t>
            </w:r>
            <w:r w:rsidR="00616DE5">
              <w:rPr>
                <w:rFonts w:ascii="Century" w:hAnsi="Century"/>
                <w:lang w:val="tr-TR"/>
              </w:rPr>
              <w:t xml:space="preserve"> milyar YTL’ye ulaşmıştır.</w:t>
            </w:r>
            <w:r w:rsidR="007B7F0D" w:rsidRPr="00565661">
              <w:rPr>
                <w:rFonts w:ascii="Century" w:hAnsi="Century"/>
                <w:lang w:val="tr-TR"/>
              </w:rPr>
              <w:t xml:space="preserve"> </w:t>
            </w:r>
          </w:p>
          <w:p w:rsidR="00EF2418" w:rsidRPr="00565661" w:rsidRDefault="00EF2418" w:rsidP="00EF2418">
            <w:pPr>
              <w:jc w:val="both"/>
              <w:rPr>
                <w:rFonts w:ascii="Century" w:hAnsi="Century"/>
                <w:lang w:val="tr-TR"/>
              </w:rPr>
            </w:pPr>
          </w:p>
          <w:p w:rsidR="00EF2418" w:rsidRPr="00565661" w:rsidRDefault="00EF2418" w:rsidP="00EF2418">
            <w:pPr>
              <w:jc w:val="both"/>
              <w:rPr>
                <w:rFonts w:ascii="Century" w:hAnsi="Century"/>
                <w:lang w:val="tr-TR"/>
              </w:rPr>
            </w:pPr>
          </w:p>
        </w:tc>
        <w:tc>
          <w:tcPr>
            <w:tcW w:w="4804" w:type="dxa"/>
          </w:tcPr>
          <w:p w:rsidR="00850CD7" w:rsidRPr="00C43A16" w:rsidRDefault="00850CD7" w:rsidP="00850CD7">
            <w:pPr>
              <w:ind w:left="-540" w:right="-108"/>
              <w:jc w:val="both"/>
              <w:rPr>
                <w:b/>
                <w:lang w:val="tr-TR"/>
              </w:rPr>
            </w:pPr>
          </w:p>
          <w:p w:rsidR="00FE284D" w:rsidRPr="00CF3FF2" w:rsidRDefault="00FE284D" w:rsidP="00FE284D">
            <w:pPr>
              <w:jc w:val="both"/>
              <w:rPr>
                <w:rFonts w:ascii="Century" w:hAnsi="Century"/>
                <w:color w:val="404040"/>
              </w:rPr>
            </w:pPr>
            <w:r w:rsidRPr="00CF3FF2">
              <w:rPr>
                <w:rFonts w:ascii="Century" w:hAnsi="Century"/>
                <w:color w:val="404040"/>
              </w:rPr>
              <w:t>As premium per capita,</w:t>
            </w:r>
            <w:r w:rsidRPr="00CF3FF2">
              <w:rPr>
                <w:rFonts w:ascii="Century" w:hAnsi="Century" w:cs="Arial"/>
                <w:color w:val="404040"/>
                <w:sz w:val="18"/>
                <w:szCs w:val="18"/>
              </w:rPr>
              <w:t xml:space="preserve"> </w:t>
            </w:r>
            <w:r w:rsidRPr="00CF3FF2">
              <w:rPr>
                <w:rFonts w:ascii="Century" w:hAnsi="Century"/>
                <w:color w:val="404040"/>
              </w:rPr>
              <w:t xml:space="preserve">distribution of premiums to non-life and life branches and ratio of premiums to </w:t>
            </w:r>
            <w:smartTag w:uri="urn:schemas-microsoft-com:office:smarttags" w:element="stockticker">
              <w:r w:rsidRPr="00CF3FF2">
                <w:rPr>
                  <w:rFonts w:ascii="Century" w:hAnsi="Century"/>
                  <w:color w:val="404040"/>
                </w:rPr>
                <w:t>GDP</w:t>
              </w:r>
            </w:smartTag>
            <w:r w:rsidRPr="00CF3FF2">
              <w:rPr>
                <w:rFonts w:ascii="Century" w:hAnsi="Century"/>
                <w:color w:val="404040"/>
              </w:rPr>
              <w:t xml:space="preserve"> are compared with EU countries, it is observed that non–life insurance is more </w:t>
            </w:r>
            <w:r w:rsidR="00EA5DF3" w:rsidRPr="00CF3FF2">
              <w:rPr>
                <w:rFonts w:ascii="Century" w:hAnsi="Century"/>
                <w:color w:val="404040"/>
              </w:rPr>
              <w:t>operative</w:t>
            </w:r>
            <w:r w:rsidRPr="00CF3FF2">
              <w:rPr>
                <w:rFonts w:ascii="Century" w:hAnsi="Century"/>
                <w:color w:val="404040"/>
              </w:rPr>
              <w:t xml:space="preserve"> than life insurance and insurance sector though tends to grow, has still a small share in </w:t>
            </w:r>
            <w:smartTag w:uri="urn:schemas-microsoft-com:office:smarttags" w:element="stockticker">
              <w:r w:rsidRPr="00CF3FF2">
                <w:rPr>
                  <w:rFonts w:ascii="Century" w:hAnsi="Century"/>
                  <w:color w:val="404040"/>
                </w:rPr>
                <w:t>GDP</w:t>
              </w:r>
            </w:smartTag>
            <w:r w:rsidRPr="00CF3FF2">
              <w:rPr>
                <w:rFonts w:ascii="Century" w:hAnsi="Century"/>
                <w:color w:val="404040"/>
              </w:rPr>
              <w:t>.</w:t>
            </w:r>
          </w:p>
          <w:p w:rsidR="004752E2" w:rsidRDefault="004752E2" w:rsidP="00FE284D">
            <w:pPr>
              <w:jc w:val="both"/>
              <w:rPr>
                <w:rFonts w:ascii="Century" w:hAnsi="Century"/>
                <w:color w:val="404040"/>
              </w:rPr>
            </w:pPr>
          </w:p>
          <w:p w:rsidR="00CF3FF2" w:rsidRDefault="00CF3FF2" w:rsidP="00FE284D">
            <w:pPr>
              <w:jc w:val="both"/>
              <w:rPr>
                <w:rFonts w:ascii="Century" w:hAnsi="Century"/>
                <w:color w:val="404040"/>
              </w:rPr>
            </w:pPr>
          </w:p>
          <w:p w:rsidR="00CF3FF2" w:rsidRPr="00CF3FF2" w:rsidRDefault="00CF3FF2" w:rsidP="00FE284D">
            <w:pPr>
              <w:jc w:val="both"/>
              <w:rPr>
                <w:rFonts w:ascii="Century" w:hAnsi="Century"/>
                <w:color w:val="404040"/>
              </w:rPr>
            </w:pPr>
          </w:p>
          <w:p w:rsidR="00850CD7" w:rsidRPr="00CF3FF2" w:rsidRDefault="00EF2418" w:rsidP="00880075">
            <w:pPr>
              <w:ind w:left="91"/>
              <w:rPr>
                <w:rFonts w:ascii="Century" w:hAnsi="Century"/>
                <w:b/>
                <w:color w:val="404040"/>
              </w:rPr>
            </w:pPr>
            <w:r w:rsidRPr="00CF3FF2">
              <w:rPr>
                <w:rFonts w:ascii="Century" w:hAnsi="Century"/>
                <w:b/>
                <w:color w:val="404040"/>
              </w:rPr>
              <w:lastRenderedPageBreak/>
              <w:t>1</w:t>
            </w:r>
            <w:r w:rsidR="006C2241" w:rsidRPr="00CF3FF2">
              <w:rPr>
                <w:rFonts w:ascii="Century" w:hAnsi="Century"/>
                <w:b/>
                <w:color w:val="404040"/>
              </w:rPr>
              <w:t>.2.  Insurance in Financial System</w:t>
            </w:r>
          </w:p>
          <w:p w:rsidR="00850CD7" w:rsidRPr="00CF3FF2" w:rsidRDefault="00850CD7" w:rsidP="00850CD7">
            <w:pPr>
              <w:ind w:left="-540" w:right="-108"/>
              <w:jc w:val="both"/>
              <w:rPr>
                <w:rFonts w:ascii="Century" w:hAnsi="Century"/>
                <w:b/>
                <w:color w:val="404040"/>
              </w:rPr>
            </w:pPr>
          </w:p>
          <w:p w:rsidR="00850CD7" w:rsidRPr="00CF3FF2" w:rsidRDefault="006C2241" w:rsidP="006C2241">
            <w:pPr>
              <w:jc w:val="both"/>
              <w:rPr>
                <w:rFonts w:ascii="Century" w:hAnsi="Century"/>
                <w:b/>
                <w:color w:val="404040"/>
              </w:rPr>
            </w:pPr>
            <w:r w:rsidRPr="00CF3FF2">
              <w:rPr>
                <w:rFonts w:ascii="Century" w:hAnsi="Century"/>
                <w:color w:val="404040"/>
              </w:rPr>
              <w:t>Total extent of assets of Turkish fina</w:t>
            </w:r>
            <w:r w:rsidR="00C34594" w:rsidRPr="00CF3FF2">
              <w:rPr>
                <w:rFonts w:ascii="Century" w:hAnsi="Century"/>
                <w:color w:val="404040"/>
              </w:rPr>
              <w:t xml:space="preserve">ncial sector </w:t>
            </w:r>
            <w:r w:rsidR="00616DE5" w:rsidRPr="00CF3FF2">
              <w:rPr>
                <w:rFonts w:ascii="Century" w:hAnsi="Century"/>
                <w:color w:val="404040"/>
              </w:rPr>
              <w:t xml:space="preserve">as at </w:t>
            </w:r>
            <w:r w:rsidR="008A7FCA" w:rsidRPr="00CF3FF2">
              <w:rPr>
                <w:rFonts w:ascii="Century" w:hAnsi="Century"/>
                <w:color w:val="404040"/>
              </w:rPr>
              <w:t>December</w:t>
            </w:r>
            <w:r w:rsidR="00616DE5" w:rsidRPr="00CF3FF2">
              <w:rPr>
                <w:rFonts w:ascii="Century" w:hAnsi="Century"/>
                <w:color w:val="404040"/>
              </w:rPr>
              <w:t xml:space="preserve"> 2007</w:t>
            </w:r>
            <w:r w:rsidR="00566DD3" w:rsidRPr="00CF3FF2">
              <w:rPr>
                <w:rFonts w:ascii="Century" w:hAnsi="Century"/>
                <w:color w:val="404040"/>
              </w:rPr>
              <w:t xml:space="preserve"> </w:t>
            </w:r>
            <w:r w:rsidR="00C34594" w:rsidRPr="00CF3FF2">
              <w:rPr>
                <w:rFonts w:ascii="Century" w:hAnsi="Century"/>
                <w:color w:val="404040"/>
              </w:rPr>
              <w:t xml:space="preserve">reached to YTL </w:t>
            </w:r>
            <w:r w:rsidR="00616DE5" w:rsidRPr="00CF3FF2">
              <w:rPr>
                <w:rFonts w:ascii="Century" w:hAnsi="Century"/>
                <w:color w:val="404040"/>
              </w:rPr>
              <w:t>7</w:t>
            </w:r>
            <w:r w:rsidR="008A7FCA" w:rsidRPr="00CF3FF2">
              <w:rPr>
                <w:rFonts w:ascii="Century" w:hAnsi="Century"/>
                <w:color w:val="404040"/>
              </w:rPr>
              <w:t>71,5</w:t>
            </w:r>
            <w:r w:rsidR="00616DE5" w:rsidRPr="00CF3FF2">
              <w:rPr>
                <w:rFonts w:ascii="Century" w:hAnsi="Century"/>
                <w:color w:val="404040"/>
              </w:rPr>
              <w:t xml:space="preserve"> billion.</w:t>
            </w:r>
          </w:p>
          <w:p w:rsidR="007B7F0D" w:rsidRPr="00565661" w:rsidRDefault="007B7F0D" w:rsidP="00904A72">
            <w:pPr>
              <w:jc w:val="both"/>
              <w:rPr>
                <w:rFonts w:ascii="Century" w:hAnsi="Century"/>
                <w:lang w:val="tr-TR"/>
              </w:rPr>
            </w:pPr>
          </w:p>
        </w:tc>
      </w:tr>
      <w:tr w:rsidR="007B7F0D" w:rsidRPr="00367FA3">
        <w:tc>
          <w:tcPr>
            <w:tcW w:w="9855" w:type="dxa"/>
            <w:gridSpan w:val="5"/>
          </w:tcPr>
          <w:p w:rsidR="007B7F0D" w:rsidRPr="00565661" w:rsidRDefault="007B7F0D" w:rsidP="002D3D31">
            <w:pPr>
              <w:pStyle w:val="ResimYazs"/>
              <w:jc w:val="center"/>
              <w:rPr>
                <w:rFonts w:ascii="Century" w:hAnsi="Century"/>
                <w:lang w:val="tr-TR"/>
              </w:rPr>
            </w:pPr>
            <w:bookmarkStart w:id="13" w:name="_Toc170665524"/>
            <w:r w:rsidRPr="00565661">
              <w:rPr>
                <w:rFonts w:ascii="Century" w:hAnsi="Century"/>
                <w:lang w:val="tr-TR"/>
              </w:rPr>
              <w:lastRenderedPageBreak/>
              <w:t xml:space="preserve">Tablo </w:t>
            </w:r>
            <w:r w:rsidRPr="00565661">
              <w:rPr>
                <w:rFonts w:ascii="Century" w:hAnsi="Century"/>
                <w:lang w:val="tr-TR"/>
              </w:rPr>
              <w:fldChar w:fldCharType="begin"/>
            </w:r>
            <w:r w:rsidRPr="00565661">
              <w:rPr>
                <w:rFonts w:ascii="Century" w:hAnsi="Century"/>
                <w:lang w:val="tr-TR"/>
              </w:rPr>
              <w:instrText xml:space="preserve"> STYLEREF 2 \s </w:instrText>
            </w:r>
            <w:r w:rsidRPr="00565661">
              <w:rPr>
                <w:rFonts w:ascii="Century" w:hAnsi="Century"/>
                <w:lang w:val="tr-TR"/>
              </w:rPr>
              <w:fldChar w:fldCharType="separate"/>
            </w:r>
            <w:r w:rsidR="00DA718E">
              <w:rPr>
                <w:rFonts w:ascii="Century" w:hAnsi="Century"/>
                <w:noProof/>
                <w:lang w:val="tr-TR"/>
              </w:rPr>
              <w:t>1.2</w:t>
            </w:r>
            <w:r w:rsidRPr="00565661">
              <w:rPr>
                <w:rFonts w:ascii="Century" w:hAnsi="Century"/>
                <w:lang w:val="tr-TR"/>
              </w:rPr>
              <w:fldChar w:fldCharType="end"/>
            </w:r>
            <w:r w:rsidRPr="00565661">
              <w:rPr>
                <w:rFonts w:ascii="Century" w:hAnsi="Century"/>
                <w:lang w:val="tr-TR"/>
              </w:rPr>
              <w:noBreakHyphen/>
            </w:r>
            <w:r w:rsidRPr="00565661">
              <w:rPr>
                <w:rFonts w:ascii="Century" w:hAnsi="Century"/>
                <w:lang w:val="tr-TR"/>
              </w:rPr>
              <w:fldChar w:fldCharType="begin"/>
            </w:r>
            <w:r w:rsidRPr="00565661">
              <w:rPr>
                <w:rFonts w:ascii="Century" w:hAnsi="Century"/>
                <w:lang w:val="tr-TR"/>
              </w:rPr>
              <w:instrText xml:space="preserve"> SEQ Tablo \* ARABIC \s 2 </w:instrText>
            </w:r>
            <w:r w:rsidRPr="00565661">
              <w:rPr>
                <w:rFonts w:ascii="Century" w:hAnsi="Century"/>
                <w:lang w:val="tr-TR"/>
              </w:rPr>
              <w:fldChar w:fldCharType="separate"/>
            </w:r>
            <w:r w:rsidR="00DA718E">
              <w:rPr>
                <w:rFonts w:ascii="Century" w:hAnsi="Century"/>
                <w:noProof/>
                <w:lang w:val="tr-TR"/>
              </w:rPr>
              <w:t>1</w:t>
            </w:r>
            <w:r w:rsidRPr="00565661">
              <w:rPr>
                <w:rFonts w:ascii="Century" w:hAnsi="Century"/>
                <w:lang w:val="tr-TR"/>
              </w:rPr>
              <w:fldChar w:fldCharType="end"/>
            </w:r>
            <w:r w:rsidRPr="00565661">
              <w:rPr>
                <w:rFonts w:ascii="Century" w:hAnsi="Century"/>
                <w:lang w:val="tr-TR"/>
              </w:rPr>
              <w:t>;</w:t>
            </w:r>
            <w:r w:rsidRPr="00565661">
              <w:rPr>
                <w:rFonts w:ascii="Century" w:hAnsi="Century"/>
                <w:bCs w:val="0"/>
                <w:lang w:val="tr-TR"/>
              </w:rPr>
              <w:t>Türk Finans Sekt.Bilanço Büyüklükleri-</w:t>
            </w:r>
            <w:r w:rsidRPr="00565661">
              <w:rPr>
                <w:rFonts w:ascii="Century" w:hAnsi="Century"/>
                <w:b w:val="0"/>
                <w:i/>
                <w:iCs/>
                <w:lang w:val="tr-TR"/>
              </w:rPr>
              <w:t>Dist. of Turkish Finance Sect.Balance Sheet Size</w:t>
            </w:r>
            <w:bookmarkEnd w:id="13"/>
          </w:p>
          <w:p w:rsidR="007B7F0D" w:rsidRPr="00616DE5" w:rsidRDefault="00BB1949" w:rsidP="002D3D31">
            <w:pPr>
              <w:jc w:val="center"/>
              <w:rPr>
                <w:rFonts w:ascii="Century" w:hAnsi="Century"/>
                <w:lang w:val="tr-TR"/>
              </w:rPr>
            </w:pPr>
            <w:r w:rsidRPr="00BB1949">
              <w:rPr>
                <w:rFonts w:ascii="Century" w:hAnsi="Century"/>
                <w:lang w:val="tr-TR"/>
              </w:rPr>
              <w:pict>
                <v:shape id="_x0000_i1030" type="#_x0000_t75" style="width:475.5pt;height:191.25pt">
                  <v:imagedata r:id="rId20" o:title=""/>
                </v:shape>
              </w:pict>
            </w:r>
          </w:p>
        </w:tc>
      </w:tr>
      <w:tr w:rsidR="001700F0" w:rsidRPr="00367FA3">
        <w:tc>
          <w:tcPr>
            <w:tcW w:w="4815" w:type="dxa"/>
            <w:gridSpan w:val="2"/>
          </w:tcPr>
          <w:p w:rsidR="00EE2CFE" w:rsidRPr="00565661" w:rsidRDefault="00EE2CFE" w:rsidP="008D17FE">
            <w:pPr>
              <w:jc w:val="both"/>
              <w:rPr>
                <w:rFonts w:ascii="Century" w:hAnsi="Century"/>
                <w:lang w:val="tr-TR"/>
              </w:rPr>
            </w:pPr>
          </w:p>
          <w:p w:rsidR="007B7F0D" w:rsidRPr="00565661" w:rsidRDefault="007B7F0D" w:rsidP="008D17FE">
            <w:pPr>
              <w:jc w:val="both"/>
              <w:rPr>
                <w:rFonts w:ascii="Century" w:hAnsi="Century"/>
                <w:lang w:val="tr-TR"/>
              </w:rPr>
            </w:pPr>
            <w:r w:rsidRPr="00565661">
              <w:rPr>
                <w:rFonts w:ascii="Century" w:hAnsi="Century"/>
                <w:lang w:val="tr-TR"/>
              </w:rPr>
              <w:t xml:space="preserve">Finansal sektör </w:t>
            </w:r>
            <w:r w:rsidR="007A6865" w:rsidRPr="00565661">
              <w:rPr>
                <w:rFonts w:ascii="Century" w:hAnsi="Century"/>
                <w:lang w:val="tr-TR"/>
              </w:rPr>
              <w:t>varlıklarının</w:t>
            </w:r>
            <w:r w:rsidRPr="00565661">
              <w:rPr>
                <w:rFonts w:ascii="Century" w:hAnsi="Century"/>
                <w:lang w:val="tr-TR"/>
              </w:rPr>
              <w:t xml:space="preserve">, </w:t>
            </w:r>
            <w:r w:rsidR="008A7FCA">
              <w:rPr>
                <w:rFonts w:ascii="Century" w:hAnsi="Century"/>
                <w:lang w:val="tr-TR"/>
              </w:rPr>
              <w:t>Aralık 2007</w:t>
            </w:r>
            <w:r w:rsidR="00616DE5">
              <w:rPr>
                <w:rFonts w:ascii="Century" w:hAnsi="Century"/>
                <w:lang w:val="tr-TR"/>
              </w:rPr>
              <w:t xml:space="preserve"> itibariyle</w:t>
            </w:r>
            <w:r w:rsidRPr="00565661">
              <w:rPr>
                <w:rFonts w:ascii="Century" w:hAnsi="Century"/>
                <w:lang w:val="tr-TR"/>
              </w:rPr>
              <w:t xml:space="preserve"> %</w:t>
            </w:r>
            <w:r w:rsidR="0042127E" w:rsidRPr="00565661">
              <w:rPr>
                <w:rFonts w:ascii="Century" w:hAnsi="Century"/>
                <w:lang w:val="tr-TR"/>
              </w:rPr>
              <w:t xml:space="preserve"> </w:t>
            </w:r>
            <w:r w:rsidR="00616DE5">
              <w:rPr>
                <w:rFonts w:ascii="Century" w:hAnsi="Century"/>
                <w:lang w:val="tr-TR"/>
              </w:rPr>
              <w:t>74,</w:t>
            </w:r>
            <w:r w:rsidR="008A7FCA">
              <w:rPr>
                <w:rFonts w:ascii="Century" w:hAnsi="Century"/>
                <w:lang w:val="tr-TR"/>
              </w:rPr>
              <w:t>6’sını</w:t>
            </w:r>
            <w:r w:rsidR="00A33696">
              <w:rPr>
                <w:rFonts w:ascii="Century" w:hAnsi="Century"/>
                <w:lang w:val="tr-TR"/>
              </w:rPr>
              <w:t xml:space="preserve"> (TCMB hariç)</w:t>
            </w:r>
            <w:r w:rsidRPr="00565661">
              <w:rPr>
                <w:rFonts w:ascii="Century" w:hAnsi="Century"/>
                <w:lang w:val="tr-TR"/>
              </w:rPr>
              <w:t xml:space="preserve"> bankacılık sektörü oluşturmaktadır.</w:t>
            </w:r>
            <w:r w:rsidR="008A7FCA">
              <w:rPr>
                <w:rFonts w:ascii="Century" w:hAnsi="Century"/>
                <w:lang w:val="tr-TR"/>
              </w:rPr>
              <w:t xml:space="preserve"> </w:t>
            </w:r>
            <w:r w:rsidRPr="00565661">
              <w:rPr>
                <w:rFonts w:ascii="Century" w:hAnsi="Century"/>
                <w:lang w:val="tr-TR"/>
              </w:rPr>
              <w:t>Sigorta</w:t>
            </w:r>
            <w:r w:rsidR="00174660" w:rsidRPr="00565661">
              <w:rPr>
                <w:rFonts w:ascii="Century" w:hAnsi="Century"/>
                <w:lang w:val="tr-TR"/>
              </w:rPr>
              <w:t>cılık</w:t>
            </w:r>
            <w:r w:rsidRPr="00565661">
              <w:rPr>
                <w:rFonts w:ascii="Century" w:hAnsi="Century"/>
                <w:lang w:val="tr-TR"/>
              </w:rPr>
              <w:t xml:space="preserve"> sektörünün payı ise %</w:t>
            </w:r>
            <w:r w:rsidR="0042127E" w:rsidRPr="00565661">
              <w:rPr>
                <w:rFonts w:ascii="Century" w:hAnsi="Century"/>
                <w:lang w:val="tr-TR"/>
              </w:rPr>
              <w:t xml:space="preserve"> </w:t>
            </w:r>
            <w:r w:rsidR="00616DE5">
              <w:rPr>
                <w:rFonts w:ascii="Century" w:hAnsi="Century"/>
                <w:lang w:val="tr-TR"/>
              </w:rPr>
              <w:t>2,8</w:t>
            </w:r>
            <w:r w:rsidRPr="00565661">
              <w:rPr>
                <w:rFonts w:ascii="Century" w:hAnsi="Century"/>
                <w:lang w:val="tr-TR"/>
              </w:rPr>
              <w:t>’</w:t>
            </w:r>
            <w:r w:rsidR="00616DE5">
              <w:rPr>
                <w:rFonts w:ascii="Century" w:hAnsi="Century"/>
                <w:lang w:val="tr-TR"/>
              </w:rPr>
              <w:t>dir.</w:t>
            </w:r>
            <w:r w:rsidRPr="00565661">
              <w:rPr>
                <w:rFonts w:ascii="Century" w:hAnsi="Century"/>
                <w:lang w:val="tr-TR"/>
              </w:rPr>
              <w:t xml:space="preserve"> Türk finans sektörü bankacılık ağırlıklı bir yapıda olup, </w:t>
            </w:r>
            <w:r w:rsidR="00174660" w:rsidRPr="00565661">
              <w:rPr>
                <w:rFonts w:ascii="Century" w:hAnsi="Century"/>
                <w:lang w:val="tr-TR"/>
              </w:rPr>
              <w:t xml:space="preserve">onu </w:t>
            </w:r>
            <w:r w:rsidRPr="00565661">
              <w:rPr>
                <w:rFonts w:ascii="Century" w:hAnsi="Century"/>
                <w:lang w:val="tr-TR"/>
              </w:rPr>
              <w:t>sırasıyla menkul kıymet yatırım fonları ve sigorta</w:t>
            </w:r>
            <w:r w:rsidR="00174660" w:rsidRPr="00565661">
              <w:rPr>
                <w:rFonts w:ascii="Century" w:hAnsi="Century"/>
                <w:lang w:val="tr-TR"/>
              </w:rPr>
              <w:t>cılık</w:t>
            </w:r>
            <w:r w:rsidRPr="00565661">
              <w:rPr>
                <w:rFonts w:ascii="Century" w:hAnsi="Century"/>
                <w:lang w:val="tr-TR"/>
              </w:rPr>
              <w:t xml:space="preserve"> sektörü takip etmektedir.</w:t>
            </w:r>
          </w:p>
          <w:p w:rsidR="00855C5D" w:rsidRPr="00565661" w:rsidRDefault="00855C5D" w:rsidP="008D17FE">
            <w:pPr>
              <w:rPr>
                <w:rFonts w:ascii="Century" w:hAnsi="Century"/>
                <w:lang w:val="tr-TR"/>
              </w:rPr>
            </w:pPr>
          </w:p>
          <w:p w:rsidR="00EF2418" w:rsidRPr="00565661" w:rsidRDefault="00EF2418" w:rsidP="008D17FE">
            <w:pPr>
              <w:rPr>
                <w:rFonts w:ascii="Century" w:hAnsi="Century"/>
                <w:lang w:val="tr-TR"/>
              </w:rPr>
            </w:pPr>
          </w:p>
        </w:tc>
        <w:tc>
          <w:tcPr>
            <w:tcW w:w="236" w:type="dxa"/>
            <w:gridSpan w:val="2"/>
          </w:tcPr>
          <w:p w:rsidR="001700F0" w:rsidRPr="00565661" w:rsidRDefault="001700F0" w:rsidP="008D17FE">
            <w:pPr>
              <w:rPr>
                <w:rFonts w:ascii="Century" w:hAnsi="Century"/>
                <w:lang w:val="tr-TR"/>
              </w:rPr>
            </w:pPr>
          </w:p>
        </w:tc>
        <w:tc>
          <w:tcPr>
            <w:tcW w:w="4804" w:type="dxa"/>
          </w:tcPr>
          <w:p w:rsidR="00EF2418" w:rsidRPr="00C43A16" w:rsidRDefault="00EF2418" w:rsidP="002168BE">
            <w:pPr>
              <w:tabs>
                <w:tab w:val="left" w:pos="935"/>
              </w:tabs>
              <w:jc w:val="both"/>
              <w:rPr>
                <w:rFonts w:ascii="Century" w:hAnsi="Century"/>
                <w:lang w:val="tr-TR"/>
              </w:rPr>
            </w:pPr>
          </w:p>
          <w:p w:rsidR="00C023AD" w:rsidRPr="00CF3FF2" w:rsidRDefault="00C023AD" w:rsidP="00C023AD">
            <w:pPr>
              <w:jc w:val="both"/>
              <w:rPr>
                <w:rFonts w:ascii="Century" w:hAnsi="Century"/>
                <w:color w:val="404040"/>
              </w:rPr>
            </w:pPr>
            <w:r w:rsidRPr="00CF3FF2">
              <w:rPr>
                <w:rFonts w:ascii="Century" w:hAnsi="Century"/>
                <w:color w:val="404040"/>
              </w:rPr>
              <w:t xml:space="preserve">Banking sector constitutes </w:t>
            </w:r>
            <w:r w:rsidR="00616DE5" w:rsidRPr="00CF3FF2">
              <w:rPr>
                <w:rFonts w:ascii="Century" w:hAnsi="Century"/>
                <w:color w:val="404040"/>
              </w:rPr>
              <w:t>74,</w:t>
            </w:r>
            <w:r w:rsidR="008A7FCA" w:rsidRPr="00CF3FF2">
              <w:rPr>
                <w:rFonts w:ascii="Century" w:hAnsi="Century"/>
                <w:color w:val="404040"/>
              </w:rPr>
              <w:t>6</w:t>
            </w:r>
            <w:r w:rsidRPr="00CF3FF2">
              <w:rPr>
                <w:rFonts w:ascii="Century" w:hAnsi="Century"/>
                <w:color w:val="404040"/>
              </w:rPr>
              <w:t>%</w:t>
            </w:r>
            <w:r w:rsidR="001D180C">
              <w:rPr>
                <w:rFonts w:ascii="Century" w:hAnsi="Century"/>
                <w:color w:val="404040"/>
              </w:rPr>
              <w:t xml:space="preserve"> (excluding</w:t>
            </w:r>
            <w:r w:rsidR="00A33696">
              <w:rPr>
                <w:rFonts w:ascii="Century" w:hAnsi="Century"/>
                <w:color w:val="404040"/>
              </w:rPr>
              <w:t xml:space="preserve"> CBRT)</w:t>
            </w:r>
            <w:r w:rsidRPr="00CF3FF2">
              <w:rPr>
                <w:rFonts w:ascii="Century" w:hAnsi="Century"/>
                <w:color w:val="404040"/>
              </w:rPr>
              <w:t xml:space="preserve"> of the f</w:t>
            </w:r>
            <w:r w:rsidR="00174660" w:rsidRPr="00CF3FF2">
              <w:rPr>
                <w:rFonts w:ascii="Century" w:hAnsi="Century"/>
                <w:color w:val="404040"/>
              </w:rPr>
              <w:t>inancial sector assets as at</w:t>
            </w:r>
            <w:r w:rsidR="00B02ABB" w:rsidRPr="00CF3FF2">
              <w:rPr>
                <w:rFonts w:ascii="Century" w:hAnsi="Century"/>
                <w:color w:val="404040"/>
              </w:rPr>
              <w:t xml:space="preserve"> </w:t>
            </w:r>
            <w:r w:rsidR="008A7FCA" w:rsidRPr="00CF3FF2">
              <w:rPr>
                <w:rFonts w:ascii="Century" w:hAnsi="Century"/>
                <w:color w:val="404040"/>
              </w:rPr>
              <w:t xml:space="preserve">December </w:t>
            </w:r>
            <w:r w:rsidRPr="00CF3FF2">
              <w:rPr>
                <w:rFonts w:ascii="Century" w:hAnsi="Century"/>
                <w:color w:val="404040"/>
              </w:rPr>
              <w:t xml:space="preserve"> 200</w:t>
            </w:r>
            <w:r w:rsidR="00616DE5" w:rsidRPr="00CF3FF2">
              <w:rPr>
                <w:rFonts w:ascii="Century" w:hAnsi="Century"/>
                <w:color w:val="404040"/>
              </w:rPr>
              <w:t>7</w:t>
            </w:r>
            <w:r w:rsidRPr="00CF3FF2">
              <w:rPr>
                <w:rFonts w:ascii="Century" w:hAnsi="Century"/>
                <w:color w:val="404040"/>
              </w:rPr>
              <w:t xml:space="preserve">. The proportion of insurance sector is </w:t>
            </w:r>
            <w:r w:rsidR="00616DE5" w:rsidRPr="00CF3FF2">
              <w:rPr>
                <w:rFonts w:ascii="Century" w:hAnsi="Century"/>
                <w:color w:val="404040"/>
              </w:rPr>
              <w:t>2,8</w:t>
            </w:r>
            <w:r w:rsidRPr="00CF3FF2">
              <w:rPr>
                <w:rFonts w:ascii="Century" w:hAnsi="Century"/>
                <w:color w:val="404040"/>
              </w:rPr>
              <w:t>%. The structure of Turkish financial sector is predominantly banking followed by mutual funds and insurance sector</w:t>
            </w:r>
            <w:r w:rsidR="00174660" w:rsidRPr="00CF3FF2">
              <w:rPr>
                <w:rFonts w:ascii="Century" w:hAnsi="Century"/>
                <w:color w:val="404040"/>
              </w:rPr>
              <w:t>,</w:t>
            </w:r>
            <w:r w:rsidRPr="00CF3FF2">
              <w:rPr>
                <w:rFonts w:ascii="Century" w:hAnsi="Century"/>
                <w:color w:val="404040"/>
              </w:rPr>
              <w:t xml:space="preserve"> respectively.</w:t>
            </w:r>
          </w:p>
          <w:p w:rsidR="001700F0" w:rsidRPr="00367FA3" w:rsidRDefault="001700F0" w:rsidP="008D17FE">
            <w:pPr>
              <w:rPr>
                <w:rFonts w:ascii="Century" w:hAnsi="Century"/>
                <w:highlight w:val="yellow"/>
                <w:lang w:val="tr-TR"/>
              </w:rPr>
            </w:pPr>
          </w:p>
        </w:tc>
      </w:tr>
      <w:tr w:rsidR="007B7F0D" w:rsidRPr="00367FA3">
        <w:tc>
          <w:tcPr>
            <w:tcW w:w="9855" w:type="dxa"/>
            <w:gridSpan w:val="5"/>
          </w:tcPr>
          <w:p w:rsidR="007B7F0D" w:rsidRPr="00B85ECA" w:rsidRDefault="007B7F0D" w:rsidP="002D3D31">
            <w:pPr>
              <w:pStyle w:val="ResimYazs"/>
              <w:jc w:val="center"/>
              <w:rPr>
                <w:rFonts w:ascii="Century" w:hAnsi="Century"/>
                <w:lang w:val="tr-TR"/>
              </w:rPr>
            </w:pPr>
            <w:bookmarkStart w:id="14" w:name="_Toc170665525"/>
            <w:r w:rsidRPr="00B85ECA">
              <w:rPr>
                <w:rFonts w:ascii="Century" w:hAnsi="Century"/>
                <w:lang w:val="tr-TR"/>
              </w:rPr>
              <w:t xml:space="preserve">Tablo </w:t>
            </w:r>
            <w:r w:rsidRPr="00B85ECA">
              <w:rPr>
                <w:rFonts w:ascii="Century" w:hAnsi="Century"/>
                <w:lang w:val="tr-TR"/>
              </w:rPr>
              <w:fldChar w:fldCharType="begin"/>
            </w:r>
            <w:r w:rsidRPr="00B85ECA">
              <w:rPr>
                <w:rFonts w:ascii="Century" w:hAnsi="Century"/>
                <w:lang w:val="tr-TR"/>
              </w:rPr>
              <w:instrText xml:space="preserve"> STYLEREF 2 \s </w:instrText>
            </w:r>
            <w:r w:rsidRPr="00B85ECA">
              <w:rPr>
                <w:rFonts w:ascii="Century" w:hAnsi="Century"/>
                <w:lang w:val="tr-TR"/>
              </w:rPr>
              <w:fldChar w:fldCharType="separate"/>
            </w:r>
            <w:r w:rsidR="00DA718E">
              <w:rPr>
                <w:rFonts w:ascii="Century" w:hAnsi="Century"/>
                <w:noProof/>
                <w:lang w:val="tr-TR"/>
              </w:rPr>
              <w:t>1.2</w:t>
            </w:r>
            <w:r w:rsidRPr="00B85ECA">
              <w:rPr>
                <w:rFonts w:ascii="Century" w:hAnsi="Century"/>
                <w:lang w:val="tr-TR"/>
              </w:rPr>
              <w:fldChar w:fldCharType="end"/>
            </w:r>
            <w:r w:rsidRPr="00B85ECA">
              <w:rPr>
                <w:rFonts w:ascii="Century" w:hAnsi="Century"/>
                <w:lang w:val="tr-TR"/>
              </w:rPr>
              <w:noBreakHyphen/>
            </w:r>
            <w:r w:rsidRPr="00B85ECA">
              <w:rPr>
                <w:rFonts w:ascii="Century" w:hAnsi="Century"/>
                <w:lang w:val="tr-TR"/>
              </w:rPr>
              <w:fldChar w:fldCharType="begin"/>
            </w:r>
            <w:r w:rsidRPr="00B85ECA">
              <w:rPr>
                <w:rFonts w:ascii="Century" w:hAnsi="Century"/>
                <w:lang w:val="tr-TR"/>
              </w:rPr>
              <w:instrText xml:space="preserve"> SEQ Tablo \* ARABIC \s 2 </w:instrText>
            </w:r>
            <w:r w:rsidRPr="00B85ECA">
              <w:rPr>
                <w:rFonts w:ascii="Century" w:hAnsi="Century"/>
                <w:lang w:val="tr-TR"/>
              </w:rPr>
              <w:fldChar w:fldCharType="separate"/>
            </w:r>
            <w:r w:rsidR="00DA718E">
              <w:rPr>
                <w:rFonts w:ascii="Century" w:hAnsi="Century"/>
                <w:noProof/>
                <w:lang w:val="tr-TR"/>
              </w:rPr>
              <w:t>2</w:t>
            </w:r>
            <w:r w:rsidRPr="00B85ECA">
              <w:rPr>
                <w:rFonts w:ascii="Century" w:hAnsi="Century"/>
                <w:lang w:val="tr-TR"/>
              </w:rPr>
              <w:fldChar w:fldCharType="end"/>
            </w:r>
            <w:r w:rsidRPr="00B85ECA">
              <w:rPr>
                <w:rFonts w:ascii="Century" w:hAnsi="Century"/>
                <w:lang w:val="tr-TR"/>
              </w:rPr>
              <w:t xml:space="preserve">; </w:t>
            </w:r>
            <w:r w:rsidRPr="00B85ECA">
              <w:rPr>
                <w:rFonts w:ascii="Century" w:hAnsi="Century"/>
                <w:bCs w:val="0"/>
                <w:lang w:val="tr-TR"/>
              </w:rPr>
              <w:t>Sigorta ve Bireysel Emeklilik Sektörüne İlişkin Büyüklüklerin GSYİH'y</w:t>
            </w:r>
            <w:r w:rsidR="002657E6" w:rsidRPr="00B85ECA">
              <w:rPr>
                <w:rFonts w:ascii="Century" w:hAnsi="Century"/>
                <w:bCs w:val="0"/>
                <w:lang w:val="tr-TR"/>
              </w:rPr>
              <w:t>e</w:t>
            </w:r>
            <w:r w:rsidRPr="00B85ECA">
              <w:rPr>
                <w:rFonts w:ascii="Century" w:hAnsi="Century"/>
                <w:bCs w:val="0"/>
                <w:lang w:val="tr-TR"/>
              </w:rPr>
              <w:t xml:space="preserve"> Oranı     </w:t>
            </w:r>
            <w:r w:rsidR="00223E8E" w:rsidRPr="00B85ECA">
              <w:rPr>
                <w:rFonts w:ascii="Century" w:hAnsi="Century"/>
                <w:bCs w:val="0"/>
                <w:lang w:val="tr-TR"/>
              </w:rPr>
              <w:t xml:space="preserve">   </w:t>
            </w:r>
            <w:r w:rsidRPr="00B85ECA">
              <w:rPr>
                <w:rFonts w:ascii="Century" w:hAnsi="Century"/>
                <w:bCs w:val="0"/>
                <w:lang w:val="tr-TR"/>
              </w:rPr>
              <w:t xml:space="preserve">        </w:t>
            </w:r>
            <w:r w:rsidRPr="00B85ECA">
              <w:rPr>
                <w:rFonts w:ascii="Century" w:hAnsi="Century"/>
                <w:b w:val="0"/>
                <w:i/>
                <w:iCs/>
                <w:lang w:val="tr-TR"/>
              </w:rPr>
              <w:t xml:space="preserve">The Ratio of </w:t>
            </w:r>
            <w:smartTag w:uri="urn:schemas-microsoft-com:office:smarttags" w:element="stockticker">
              <w:r w:rsidRPr="00B85ECA">
                <w:rPr>
                  <w:rFonts w:ascii="Century" w:hAnsi="Century"/>
                  <w:b w:val="0"/>
                  <w:i/>
                  <w:iCs/>
                  <w:lang w:val="tr-TR"/>
                </w:rPr>
                <w:t>G</w:t>
              </w:r>
              <w:r w:rsidR="00E00E2B" w:rsidRPr="00B85ECA">
                <w:rPr>
                  <w:rFonts w:ascii="Century" w:hAnsi="Century"/>
                  <w:b w:val="0"/>
                  <w:i/>
                  <w:iCs/>
                  <w:lang w:val="tr-TR"/>
                </w:rPr>
                <w:t>D</w:t>
              </w:r>
              <w:r w:rsidRPr="00B85ECA">
                <w:rPr>
                  <w:rFonts w:ascii="Century" w:hAnsi="Century"/>
                  <w:b w:val="0"/>
                  <w:i/>
                  <w:iCs/>
                  <w:lang w:val="tr-TR"/>
                </w:rPr>
                <w:t>P</w:t>
              </w:r>
            </w:smartTag>
            <w:r w:rsidRPr="00B85ECA">
              <w:rPr>
                <w:rFonts w:ascii="Century" w:hAnsi="Century"/>
                <w:b w:val="0"/>
                <w:i/>
                <w:iCs/>
                <w:lang w:val="tr-TR"/>
              </w:rPr>
              <w:t xml:space="preserve"> from Insurance / Pension Sector Balance Sheet Size</w:t>
            </w:r>
            <w:bookmarkEnd w:id="14"/>
          </w:p>
          <w:p w:rsidR="00B85ECA" w:rsidRPr="00B85ECA" w:rsidRDefault="003563A0" w:rsidP="002D3D31">
            <w:pPr>
              <w:jc w:val="center"/>
              <w:rPr>
                <w:rFonts w:ascii="Century" w:hAnsi="Century"/>
                <w:highlight w:val="yellow"/>
                <w:lang w:val="tr-TR"/>
              </w:rPr>
            </w:pPr>
            <w:r w:rsidRPr="003563A0">
              <w:rPr>
                <w:rFonts w:ascii="Century" w:hAnsi="Century"/>
                <w:lang w:val="tr-TR"/>
              </w:rPr>
              <w:pict>
                <v:shape id="_x0000_i1031" type="#_x0000_t75" style="width:481.5pt;height:119.25pt">
                  <v:imagedata r:id="rId21" o:title=""/>
                </v:shape>
              </w:pict>
            </w:r>
          </w:p>
        </w:tc>
      </w:tr>
      <w:tr w:rsidR="001700F0" w:rsidRPr="00367FA3">
        <w:tc>
          <w:tcPr>
            <w:tcW w:w="4815" w:type="dxa"/>
            <w:gridSpan w:val="2"/>
          </w:tcPr>
          <w:p w:rsidR="00994F98" w:rsidRPr="00367FA3" w:rsidRDefault="00994F98" w:rsidP="008D17FE">
            <w:pPr>
              <w:jc w:val="both"/>
              <w:rPr>
                <w:rFonts w:ascii="Century" w:hAnsi="Century"/>
                <w:highlight w:val="yellow"/>
                <w:lang w:val="tr-TR"/>
              </w:rPr>
            </w:pPr>
          </w:p>
          <w:p w:rsidR="00625ECA" w:rsidRPr="00367FA3" w:rsidRDefault="00625ECA" w:rsidP="008D17FE">
            <w:pPr>
              <w:jc w:val="both"/>
              <w:rPr>
                <w:rFonts w:ascii="Century" w:hAnsi="Century"/>
                <w:highlight w:val="yellow"/>
                <w:lang w:val="tr-TR"/>
              </w:rPr>
            </w:pPr>
          </w:p>
          <w:p w:rsidR="00625ECA" w:rsidRDefault="00625ECA" w:rsidP="008D17FE">
            <w:pPr>
              <w:jc w:val="both"/>
              <w:rPr>
                <w:rFonts w:ascii="Century" w:hAnsi="Century"/>
                <w:highlight w:val="yellow"/>
                <w:lang w:val="tr-TR"/>
              </w:rPr>
            </w:pPr>
          </w:p>
          <w:p w:rsidR="00350749" w:rsidRDefault="00350749" w:rsidP="008D17FE">
            <w:pPr>
              <w:jc w:val="both"/>
              <w:rPr>
                <w:rFonts w:ascii="Century" w:hAnsi="Century"/>
                <w:highlight w:val="yellow"/>
                <w:lang w:val="tr-TR"/>
              </w:rPr>
            </w:pPr>
          </w:p>
          <w:p w:rsidR="00102777" w:rsidRDefault="00102777" w:rsidP="008D17FE">
            <w:pPr>
              <w:jc w:val="both"/>
              <w:rPr>
                <w:rFonts w:ascii="Century" w:hAnsi="Century"/>
                <w:highlight w:val="yellow"/>
                <w:lang w:val="tr-TR"/>
              </w:rPr>
            </w:pPr>
          </w:p>
          <w:p w:rsidR="00BB1949" w:rsidRPr="00367FA3" w:rsidRDefault="00BB1949" w:rsidP="008D17FE">
            <w:pPr>
              <w:jc w:val="both"/>
              <w:rPr>
                <w:rFonts w:ascii="Century" w:hAnsi="Century"/>
                <w:highlight w:val="yellow"/>
                <w:lang w:val="tr-TR"/>
              </w:rPr>
            </w:pPr>
          </w:p>
          <w:p w:rsidR="004649B1" w:rsidRPr="00B85ECA" w:rsidRDefault="004649B1" w:rsidP="00566DD3">
            <w:pPr>
              <w:jc w:val="both"/>
              <w:rPr>
                <w:rFonts w:ascii="Century" w:hAnsi="Century"/>
                <w:lang w:val="tr-TR"/>
              </w:rPr>
            </w:pPr>
            <w:r w:rsidRPr="00B85ECA">
              <w:rPr>
                <w:rFonts w:ascii="Century" w:hAnsi="Century"/>
                <w:lang w:val="tr-TR"/>
              </w:rPr>
              <w:lastRenderedPageBreak/>
              <w:t xml:space="preserve">Türk sigortacılık sektörü </w:t>
            </w:r>
            <w:r w:rsidR="007A6865" w:rsidRPr="00B85ECA">
              <w:rPr>
                <w:rFonts w:ascii="Century" w:hAnsi="Century"/>
                <w:lang w:val="tr-TR"/>
              </w:rPr>
              <w:t>varlık toplamı</w:t>
            </w:r>
            <w:r w:rsidRPr="00B85ECA">
              <w:rPr>
                <w:rFonts w:ascii="Century" w:hAnsi="Century"/>
                <w:lang w:val="tr-TR"/>
              </w:rPr>
              <w:t>, bireysel emeklilik ve reasürans şirketleri da</w:t>
            </w:r>
            <w:r w:rsidR="00473D03" w:rsidRPr="00B85ECA">
              <w:rPr>
                <w:rFonts w:ascii="Century" w:hAnsi="Century"/>
                <w:lang w:val="tr-TR"/>
              </w:rPr>
              <w:t>hil olmak üzere,</w:t>
            </w:r>
            <w:r w:rsidRPr="00B85ECA">
              <w:rPr>
                <w:rFonts w:ascii="Century" w:hAnsi="Century"/>
                <w:lang w:val="tr-TR"/>
              </w:rPr>
              <w:t xml:space="preserve"> </w:t>
            </w:r>
            <w:r w:rsidR="00473D03" w:rsidRPr="00B85ECA">
              <w:rPr>
                <w:rFonts w:ascii="Century" w:hAnsi="Century"/>
                <w:lang w:val="tr-TR"/>
              </w:rPr>
              <w:t xml:space="preserve">bir önceki döneme göre </w:t>
            </w:r>
            <w:r w:rsidRPr="00B85ECA">
              <w:rPr>
                <w:rFonts w:ascii="Century" w:hAnsi="Century"/>
                <w:lang w:val="tr-TR"/>
              </w:rPr>
              <w:t>%</w:t>
            </w:r>
            <w:r w:rsidR="0042127E" w:rsidRPr="00B85ECA">
              <w:rPr>
                <w:rFonts w:ascii="Century" w:hAnsi="Century"/>
                <w:lang w:val="tr-TR"/>
              </w:rPr>
              <w:t xml:space="preserve"> </w:t>
            </w:r>
            <w:r w:rsidRPr="00B85ECA">
              <w:rPr>
                <w:rFonts w:ascii="Century" w:hAnsi="Century"/>
                <w:lang w:val="tr-TR"/>
              </w:rPr>
              <w:t>2</w:t>
            </w:r>
            <w:r w:rsidR="00B85ECA" w:rsidRPr="00B85ECA">
              <w:rPr>
                <w:rFonts w:ascii="Century" w:hAnsi="Century"/>
                <w:lang w:val="tr-TR"/>
              </w:rPr>
              <w:t>5</w:t>
            </w:r>
            <w:r w:rsidRPr="00B85ECA">
              <w:rPr>
                <w:rFonts w:ascii="Century" w:hAnsi="Century"/>
                <w:lang w:val="tr-TR"/>
              </w:rPr>
              <w:t xml:space="preserve"> oranında artarak 31.12.200</w:t>
            </w:r>
            <w:r w:rsidR="00B85ECA" w:rsidRPr="00B85ECA">
              <w:rPr>
                <w:rFonts w:ascii="Century" w:hAnsi="Century"/>
                <w:lang w:val="tr-TR"/>
              </w:rPr>
              <w:t>7</w:t>
            </w:r>
            <w:r w:rsidRPr="00B85ECA">
              <w:rPr>
                <w:rFonts w:ascii="Century" w:hAnsi="Century"/>
                <w:lang w:val="tr-TR"/>
              </w:rPr>
              <w:t xml:space="preserve"> tarihi itibariyle </w:t>
            </w:r>
            <w:r w:rsidR="00B85ECA" w:rsidRPr="00B85ECA">
              <w:rPr>
                <w:rFonts w:ascii="Century" w:hAnsi="Century"/>
                <w:lang w:val="tr-TR"/>
              </w:rPr>
              <w:t>23,4</w:t>
            </w:r>
            <w:r w:rsidRPr="00B85ECA">
              <w:rPr>
                <w:rFonts w:ascii="Century" w:hAnsi="Century"/>
                <w:lang w:val="tr-TR"/>
              </w:rPr>
              <w:t xml:space="preserve"> milyar YTL’ye yükselirken, GSYİH’</w:t>
            </w:r>
            <w:r w:rsidR="00174660" w:rsidRPr="00B85ECA">
              <w:rPr>
                <w:rFonts w:ascii="Century" w:hAnsi="Century"/>
                <w:lang w:val="tr-TR"/>
              </w:rPr>
              <w:t xml:space="preserve">ye oranında </w:t>
            </w:r>
            <w:r w:rsidR="00B85ECA" w:rsidRPr="00B85ECA">
              <w:rPr>
                <w:rFonts w:ascii="Century" w:hAnsi="Century"/>
                <w:lang w:val="tr-TR"/>
              </w:rPr>
              <w:t>da 0,2 puanlık</w:t>
            </w:r>
            <w:r w:rsidR="0093701A">
              <w:rPr>
                <w:rFonts w:ascii="Century" w:hAnsi="Century"/>
                <w:lang w:val="tr-TR"/>
              </w:rPr>
              <w:t xml:space="preserve"> bir</w:t>
            </w:r>
            <w:r w:rsidR="00B85ECA" w:rsidRPr="00B85ECA">
              <w:rPr>
                <w:rFonts w:ascii="Century" w:hAnsi="Century"/>
                <w:lang w:val="tr-TR"/>
              </w:rPr>
              <w:t xml:space="preserve"> artış olmuştur.</w:t>
            </w:r>
            <w:r w:rsidR="00463DE6">
              <w:rPr>
                <w:rFonts w:ascii="Century" w:hAnsi="Century"/>
                <w:lang w:val="tr-TR"/>
              </w:rPr>
              <w:t xml:space="preserve"> </w:t>
            </w:r>
            <w:r w:rsidR="00463DE6" w:rsidRPr="00463DE6">
              <w:rPr>
                <w:rFonts w:ascii="Century" w:hAnsi="Century"/>
                <w:lang w:val="tr-TR"/>
              </w:rPr>
              <w:t>Buna karşılık, prim üretiminin GSYİH’ye oranında bir değişiklik olmamış ancak</w:t>
            </w:r>
            <w:r w:rsidR="00B85ECA" w:rsidRPr="00463DE6">
              <w:rPr>
                <w:rFonts w:ascii="Century" w:hAnsi="Century"/>
                <w:lang w:val="tr-TR"/>
              </w:rPr>
              <w:t>,</w:t>
            </w:r>
            <w:r w:rsidRPr="00463DE6">
              <w:rPr>
                <w:rFonts w:ascii="Century" w:hAnsi="Century"/>
                <w:lang w:val="tr-TR"/>
              </w:rPr>
              <w:t xml:space="preserve"> bireysel emeklilik fonların</w:t>
            </w:r>
            <w:r w:rsidR="00174660" w:rsidRPr="00463DE6">
              <w:rPr>
                <w:rFonts w:ascii="Century" w:hAnsi="Century"/>
                <w:lang w:val="tr-TR"/>
              </w:rPr>
              <w:t>ın GSYİH’ye oranında</w:t>
            </w:r>
            <w:r w:rsidRPr="00463DE6">
              <w:rPr>
                <w:rFonts w:ascii="Century" w:hAnsi="Century"/>
                <w:lang w:val="tr-TR"/>
              </w:rPr>
              <w:t xml:space="preserve"> 0,</w:t>
            </w:r>
            <w:r w:rsidR="00B85ECA" w:rsidRPr="00463DE6">
              <w:rPr>
                <w:rFonts w:ascii="Century" w:hAnsi="Century"/>
                <w:lang w:val="tr-TR"/>
              </w:rPr>
              <w:t>1</w:t>
            </w:r>
            <w:r w:rsidRPr="00463DE6">
              <w:rPr>
                <w:rFonts w:ascii="Century" w:hAnsi="Century"/>
                <w:lang w:val="tr-TR"/>
              </w:rPr>
              <w:t xml:space="preserve"> puanlık artış olmuştur.</w:t>
            </w:r>
          </w:p>
          <w:p w:rsidR="00855C5D" w:rsidRPr="00B85ECA" w:rsidRDefault="00855C5D" w:rsidP="008D17FE">
            <w:pPr>
              <w:rPr>
                <w:rFonts w:ascii="Century" w:hAnsi="Century"/>
                <w:lang w:val="tr-TR"/>
              </w:rPr>
            </w:pPr>
          </w:p>
          <w:p w:rsidR="00EF2418" w:rsidRPr="00367FA3" w:rsidRDefault="00EF2418" w:rsidP="008D17FE">
            <w:pPr>
              <w:rPr>
                <w:rFonts w:ascii="Century" w:hAnsi="Century"/>
                <w:highlight w:val="yellow"/>
                <w:lang w:val="tr-TR"/>
              </w:rPr>
            </w:pPr>
          </w:p>
        </w:tc>
        <w:tc>
          <w:tcPr>
            <w:tcW w:w="236" w:type="dxa"/>
            <w:gridSpan w:val="2"/>
          </w:tcPr>
          <w:p w:rsidR="001700F0" w:rsidRPr="00367FA3" w:rsidRDefault="001700F0" w:rsidP="008D17FE">
            <w:pPr>
              <w:rPr>
                <w:rFonts w:ascii="Century" w:hAnsi="Century"/>
                <w:highlight w:val="yellow"/>
                <w:lang w:val="tr-TR"/>
              </w:rPr>
            </w:pPr>
          </w:p>
        </w:tc>
        <w:tc>
          <w:tcPr>
            <w:tcW w:w="4804" w:type="dxa"/>
          </w:tcPr>
          <w:p w:rsidR="001700F0" w:rsidRPr="00367FA3" w:rsidRDefault="001700F0" w:rsidP="008D17FE">
            <w:pPr>
              <w:rPr>
                <w:rFonts w:ascii="Century" w:hAnsi="Century"/>
                <w:color w:val="808080"/>
                <w:highlight w:val="yellow"/>
                <w:lang w:val="tr-TR"/>
              </w:rPr>
            </w:pPr>
          </w:p>
          <w:p w:rsidR="00AD59C0" w:rsidRDefault="00AD59C0" w:rsidP="008D17FE">
            <w:pPr>
              <w:rPr>
                <w:rFonts w:ascii="Century" w:hAnsi="Century"/>
                <w:color w:val="808080"/>
                <w:highlight w:val="yellow"/>
                <w:lang w:val="tr-TR"/>
              </w:rPr>
            </w:pPr>
          </w:p>
          <w:p w:rsidR="00350749" w:rsidRDefault="00350749" w:rsidP="008D17FE">
            <w:pPr>
              <w:rPr>
                <w:rFonts w:ascii="Century" w:hAnsi="Century"/>
                <w:color w:val="808080"/>
                <w:highlight w:val="yellow"/>
                <w:lang w:val="tr-TR"/>
              </w:rPr>
            </w:pPr>
          </w:p>
          <w:p w:rsidR="00350749" w:rsidRDefault="00350749" w:rsidP="008D17FE">
            <w:pPr>
              <w:rPr>
                <w:rFonts w:ascii="Century" w:hAnsi="Century"/>
                <w:color w:val="808080"/>
                <w:highlight w:val="yellow"/>
                <w:lang w:val="tr-TR"/>
              </w:rPr>
            </w:pPr>
          </w:p>
          <w:p w:rsidR="00102777" w:rsidRDefault="00102777" w:rsidP="008D17FE">
            <w:pPr>
              <w:rPr>
                <w:rFonts w:ascii="Century" w:hAnsi="Century"/>
                <w:color w:val="808080"/>
                <w:highlight w:val="yellow"/>
                <w:lang w:val="tr-TR"/>
              </w:rPr>
            </w:pPr>
          </w:p>
          <w:p w:rsidR="00BB1949" w:rsidRPr="00367FA3" w:rsidRDefault="00BB1949" w:rsidP="008D17FE">
            <w:pPr>
              <w:rPr>
                <w:rFonts w:ascii="Century" w:hAnsi="Century"/>
                <w:color w:val="808080"/>
                <w:highlight w:val="yellow"/>
                <w:lang w:val="tr-TR"/>
              </w:rPr>
            </w:pPr>
          </w:p>
          <w:p w:rsidR="000D1AE9" w:rsidRPr="00CF3FF2" w:rsidRDefault="00C43A16" w:rsidP="00B85ECA">
            <w:pPr>
              <w:jc w:val="both"/>
              <w:rPr>
                <w:rFonts w:ascii="Century" w:hAnsi="Century"/>
                <w:color w:val="404040"/>
              </w:rPr>
            </w:pPr>
            <w:r w:rsidRPr="00CF3FF2">
              <w:rPr>
                <w:rFonts w:ascii="Century" w:hAnsi="Century"/>
                <w:color w:val="404040"/>
              </w:rPr>
              <w:lastRenderedPageBreak/>
              <w:t>Total</w:t>
            </w:r>
            <w:r w:rsidR="002B2062" w:rsidRPr="00CF3FF2">
              <w:rPr>
                <w:rFonts w:ascii="Century" w:hAnsi="Century"/>
                <w:color w:val="404040"/>
              </w:rPr>
              <w:t xml:space="preserve"> asset</w:t>
            </w:r>
            <w:r w:rsidRPr="00CF3FF2">
              <w:rPr>
                <w:rFonts w:ascii="Century" w:hAnsi="Century"/>
                <w:color w:val="404040"/>
              </w:rPr>
              <w:t>s</w:t>
            </w:r>
            <w:r w:rsidR="002B2062" w:rsidRPr="00CF3FF2">
              <w:rPr>
                <w:rFonts w:ascii="Century" w:hAnsi="Century"/>
                <w:color w:val="404040"/>
              </w:rPr>
              <w:t xml:space="preserve"> of Turk</w:t>
            </w:r>
            <w:r w:rsidR="00EA5DF3" w:rsidRPr="00CF3FF2">
              <w:rPr>
                <w:rFonts w:ascii="Century" w:hAnsi="Century"/>
                <w:color w:val="404040"/>
              </w:rPr>
              <w:t>ish</w:t>
            </w:r>
            <w:r w:rsidR="002B2062" w:rsidRPr="00CF3FF2">
              <w:rPr>
                <w:rFonts w:ascii="Century" w:hAnsi="Century"/>
                <w:color w:val="404040"/>
              </w:rPr>
              <w:t xml:space="preserve"> insurance sector, including private pension and reinsurance companies, ascend</w:t>
            </w:r>
            <w:r w:rsidR="00140F46" w:rsidRPr="00CF3FF2">
              <w:rPr>
                <w:rFonts w:ascii="Century" w:hAnsi="Century"/>
                <w:color w:val="404040"/>
              </w:rPr>
              <w:t xml:space="preserve">ed to YTL </w:t>
            </w:r>
            <w:r w:rsidR="00B85ECA" w:rsidRPr="00CF3FF2">
              <w:rPr>
                <w:rFonts w:ascii="Century" w:hAnsi="Century"/>
                <w:color w:val="404040"/>
              </w:rPr>
              <w:t>23,</w:t>
            </w:r>
            <w:r w:rsidR="00565661" w:rsidRPr="00CF3FF2">
              <w:rPr>
                <w:rFonts w:ascii="Century" w:hAnsi="Century"/>
                <w:color w:val="404040"/>
              </w:rPr>
              <w:t>4</w:t>
            </w:r>
            <w:r w:rsidR="00140F46" w:rsidRPr="00CF3FF2">
              <w:rPr>
                <w:rFonts w:ascii="Century" w:hAnsi="Century"/>
                <w:color w:val="404040"/>
              </w:rPr>
              <w:t xml:space="preserve"> billion as at </w:t>
            </w:r>
            <w:smartTag w:uri="urn:schemas-microsoft-com:office:smarttags" w:element="date">
              <w:smartTagPr>
                <w:attr w:name="Year" w:val="2007"/>
                <w:attr w:name="Day" w:val="31"/>
                <w:attr w:name="Month" w:val="12"/>
              </w:smartTagPr>
              <w:r w:rsidR="002B2062" w:rsidRPr="00CF3FF2">
                <w:rPr>
                  <w:rFonts w:ascii="Century" w:hAnsi="Century"/>
                  <w:color w:val="404040"/>
                </w:rPr>
                <w:t>December</w:t>
              </w:r>
              <w:r w:rsidR="00140F46" w:rsidRPr="00CF3FF2">
                <w:rPr>
                  <w:rFonts w:ascii="Century" w:hAnsi="Century"/>
                  <w:color w:val="404040"/>
                </w:rPr>
                <w:t xml:space="preserve"> 31</w:t>
              </w:r>
              <w:r w:rsidR="002B2062" w:rsidRPr="00CF3FF2">
                <w:rPr>
                  <w:rFonts w:ascii="Century" w:hAnsi="Century"/>
                  <w:color w:val="404040"/>
                </w:rPr>
                <w:t>, 200</w:t>
              </w:r>
              <w:r w:rsidR="00B85ECA" w:rsidRPr="00CF3FF2">
                <w:rPr>
                  <w:rFonts w:ascii="Century" w:hAnsi="Century"/>
                  <w:color w:val="404040"/>
                </w:rPr>
                <w:t>7</w:t>
              </w:r>
            </w:smartTag>
            <w:r w:rsidR="002B2062" w:rsidRPr="00CF3FF2">
              <w:rPr>
                <w:rFonts w:ascii="Century" w:hAnsi="Century"/>
                <w:color w:val="404040"/>
              </w:rPr>
              <w:t>, with an increase of 2</w:t>
            </w:r>
            <w:r w:rsidRPr="00CF3FF2">
              <w:rPr>
                <w:rFonts w:ascii="Century" w:hAnsi="Century"/>
                <w:color w:val="404040"/>
              </w:rPr>
              <w:t>5%. I</w:t>
            </w:r>
            <w:r w:rsidR="002B2062" w:rsidRPr="00CF3FF2">
              <w:rPr>
                <w:rFonts w:ascii="Century" w:hAnsi="Century"/>
                <w:color w:val="404040"/>
              </w:rPr>
              <w:t>ts share in GDP</w:t>
            </w:r>
            <w:r w:rsidRPr="00CF3FF2">
              <w:rPr>
                <w:rFonts w:ascii="Century" w:hAnsi="Century"/>
                <w:color w:val="404040"/>
              </w:rPr>
              <w:t xml:space="preserve"> </w:t>
            </w:r>
            <w:r w:rsidR="00B85ECA" w:rsidRPr="00CF3FF2">
              <w:rPr>
                <w:rFonts w:ascii="Century" w:hAnsi="Century"/>
                <w:color w:val="404040"/>
              </w:rPr>
              <w:t>also increases 0,2 point.</w:t>
            </w:r>
            <w:r w:rsidR="002B2062" w:rsidRPr="00CF3FF2">
              <w:rPr>
                <w:rFonts w:ascii="Century" w:hAnsi="Century"/>
                <w:color w:val="404040"/>
              </w:rPr>
              <w:t xml:space="preserve"> The ratio of premiums </w:t>
            </w:r>
            <w:r w:rsidR="00B85ECA" w:rsidRPr="00CF3FF2">
              <w:rPr>
                <w:rFonts w:ascii="Century" w:hAnsi="Century"/>
                <w:color w:val="404040"/>
              </w:rPr>
              <w:t xml:space="preserve">has not changed however </w:t>
            </w:r>
            <w:r w:rsidR="00463DE6">
              <w:rPr>
                <w:rFonts w:ascii="Century" w:hAnsi="Century"/>
                <w:color w:val="404040"/>
              </w:rPr>
              <w:t xml:space="preserve">private pension funds to </w:t>
            </w:r>
            <w:r w:rsidR="002B2062" w:rsidRPr="00CF3FF2">
              <w:rPr>
                <w:rFonts w:ascii="Century" w:hAnsi="Century"/>
                <w:color w:val="404040"/>
              </w:rPr>
              <w:t>GDP has increased by 0.</w:t>
            </w:r>
            <w:r w:rsidR="00B85ECA" w:rsidRPr="00CF3FF2">
              <w:rPr>
                <w:rFonts w:ascii="Century" w:hAnsi="Century"/>
                <w:color w:val="404040"/>
              </w:rPr>
              <w:t>1</w:t>
            </w:r>
            <w:r w:rsidR="002B2062" w:rsidRPr="00CF3FF2">
              <w:rPr>
                <w:rFonts w:ascii="Century" w:hAnsi="Century"/>
                <w:color w:val="404040"/>
              </w:rPr>
              <w:t xml:space="preserve">%. </w:t>
            </w:r>
          </w:p>
        </w:tc>
      </w:tr>
      <w:tr w:rsidR="004649B1" w:rsidRPr="00367FA3">
        <w:tc>
          <w:tcPr>
            <w:tcW w:w="9855" w:type="dxa"/>
            <w:gridSpan w:val="5"/>
          </w:tcPr>
          <w:p w:rsidR="004649B1" w:rsidRPr="00367FA3" w:rsidRDefault="004649B1" w:rsidP="002D3D31">
            <w:pPr>
              <w:pStyle w:val="ResimYazs"/>
              <w:jc w:val="center"/>
              <w:rPr>
                <w:rFonts w:ascii="Century" w:hAnsi="Century"/>
                <w:b w:val="0"/>
                <w:i/>
                <w:highlight w:val="yellow"/>
                <w:lang w:val="tr-TR"/>
              </w:rPr>
            </w:pPr>
            <w:bookmarkStart w:id="15" w:name="_Toc170278155"/>
            <w:bookmarkStart w:id="16" w:name="_Toc170665579"/>
            <w:r w:rsidRPr="00B764E5">
              <w:rPr>
                <w:rFonts w:ascii="Century" w:hAnsi="Century"/>
                <w:lang w:val="tr-TR"/>
              </w:rPr>
              <w:lastRenderedPageBreak/>
              <w:t xml:space="preserve">Grafik </w:t>
            </w:r>
            <w:r w:rsidRPr="00B764E5">
              <w:rPr>
                <w:rFonts w:ascii="Century" w:hAnsi="Century"/>
                <w:lang w:val="tr-TR"/>
              </w:rPr>
              <w:fldChar w:fldCharType="begin"/>
            </w:r>
            <w:r w:rsidRPr="00B764E5">
              <w:rPr>
                <w:rFonts w:ascii="Century" w:hAnsi="Century"/>
                <w:lang w:val="tr-TR"/>
              </w:rPr>
              <w:instrText xml:space="preserve"> STYLEREF 2 \s </w:instrText>
            </w:r>
            <w:r w:rsidRPr="00B764E5">
              <w:rPr>
                <w:rFonts w:ascii="Century" w:hAnsi="Century"/>
                <w:lang w:val="tr-TR"/>
              </w:rPr>
              <w:fldChar w:fldCharType="separate"/>
            </w:r>
            <w:r w:rsidR="00DA718E">
              <w:rPr>
                <w:rFonts w:ascii="Century" w:hAnsi="Century"/>
                <w:noProof/>
                <w:lang w:val="tr-TR"/>
              </w:rPr>
              <w:t>1.2</w:t>
            </w:r>
            <w:r w:rsidRPr="00B764E5">
              <w:rPr>
                <w:rFonts w:ascii="Century" w:hAnsi="Century"/>
                <w:lang w:val="tr-TR"/>
              </w:rPr>
              <w:fldChar w:fldCharType="end"/>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DA718E">
              <w:rPr>
                <w:rFonts w:ascii="Century" w:hAnsi="Century"/>
                <w:noProof/>
                <w:lang w:val="tr-TR"/>
              </w:rPr>
              <w:t>1</w:t>
            </w:r>
            <w:r w:rsidRPr="00B764E5">
              <w:rPr>
                <w:rFonts w:ascii="Century" w:hAnsi="Century"/>
                <w:lang w:val="tr-TR"/>
              </w:rPr>
              <w:fldChar w:fldCharType="end"/>
            </w:r>
            <w:r w:rsidRPr="00B764E5">
              <w:rPr>
                <w:rFonts w:ascii="Century" w:hAnsi="Century"/>
                <w:lang w:val="tr-TR"/>
              </w:rPr>
              <w:t>; GSYİH, TÜFE, Prim Artış Oranları–</w:t>
            </w:r>
            <w:smartTag w:uri="urn:schemas-microsoft-com:office:smarttags" w:element="stockticker">
              <w:r w:rsidR="006C0FA1" w:rsidRPr="00B764E5">
                <w:rPr>
                  <w:rFonts w:ascii="Century" w:hAnsi="Century"/>
                  <w:b w:val="0"/>
                  <w:i/>
                  <w:lang w:val="tr-TR"/>
                </w:rPr>
                <w:t>G</w:t>
              </w:r>
              <w:r w:rsidRPr="00B764E5">
                <w:rPr>
                  <w:rFonts w:ascii="Century" w:hAnsi="Century"/>
                  <w:b w:val="0"/>
                  <w:i/>
                  <w:lang w:val="tr-TR"/>
                </w:rPr>
                <w:t>DP</w:t>
              </w:r>
            </w:smartTag>
            <w:r w:rsidRPr="00B764E5">
              <w:rPr>
                <w:rFonts w:ascii="Century" w:hAnsi="Century"/>
                <w:b w:val="0"/>
                <w:i/>
                <w:lang w:val="tr-TR"/>
              </w:rPr>
              <w:t xml:space="preserve">, </w:t>
            </w:r>
            <w:smartTag w:uri="urn:schemas-microsoft-com:office:smarttags" w:element="stockticker">
              <w:r w:rsidRPr="00B764E5">
                <w:rPr>
                  <w:rFonts w:ascii="Century" w:hAnsi="Century"/>
                  <w:b w:val="0"/>
                  <w:i/>
                  <w:lang w:val="tr-TR"/>
                </w:rPr>
                <w:t>CPI</w:t>
              </w:r>
            </w:smartTag>
            <w:r w:rsidRPr="00B764E5">
              <w:rPr>
                <w:rFonts w:ascii="Century" w:hAnsi="Century"/>
                <w:b w:val="0"/>
                <w:i/>
                <w:lang w:val="tr-TR"/>
              </w:rPr>
              <w:t xml:space="preserve"> and the Rate of Increase of Premium</w:t>
            </w:r>
            <w:bookmarkEnd w:id="15"/>
            <w:bookmarkEnd w:id="16"/>
          </w:p>
          <w:p w:rsidR="004649B1" w:rsidRPr="00B764E5" w:rsidRDefault="00B764E5" w:rsidP="008D17FE">
            <w:pPr>
              <w:jc w:val="both"/>
              <w:rPr>
                <w:rFonts w:ascii="Century" w:hAnsi="Century"/>
                <w:highlight w:val="yellow"/>
                <w:lang w:val="tr-TR"/>
              </w:rPr>
            </w:pPr>
            <w:r w:rsidRPr="00B764E5">
              <w:rPr>
                <w:rFonts w:ascii="Century" w:hAnsi="Century"/>
                <w:lang w:val="tr-TR"/>
              </w:rPr>
              <w:pict>
                <v:shape id="_x0000_i1032" type="#_x0000_t75" style="width:453pt;height:206.25pt">
                  <v:imagedata r:id="rId22" o:title=""/>
                </v:shape>
              </w:pict>
            </w:r>
          </w:p>
          <w:p w:rsidR="00B2605C" w:rsidRPr="00367FA3" w:rsidRDefault="00B2605C" w:rsidP="008D17FE">
            <w:pPr>
              <w:rPr>
                <w:rFonts w:ascii="Century" w:hAnsi="Century"/>
                <w:highlight w:val="yellow"/>
                <w:lang w:val="tr-TR"/>
              </w:rPr>
            </w:pPr>
          </w:p>
          <w:p w:rsidR="00994F98" w:rsidRPr="00367FA3" w:rsidRDefault="00994F98" w:rsidP="008D17FE">
            <w:pPr>
              <w:rPr>
                <w:rFonts w:ascii="Century" w:hAnsi="Century"/>
                <w:highlight w:val="yellow"/>
                <w:lang w:val="tr-TR"/>
              </w:rPr>
            </w:pPr>
          </w:p>
        </w:tc>
      </w:tr>
      <w:tr w:rsidR="001700F0" w:rsidRPr="00367FA3">
        <w:tc>
          <w:tcPr>
            <w:tcW w:w="4815" w:type="dxa"/>
            <w:gridSpan w:val="2"/>
          </w:tcPr>
          <w:p w:rsidR="004649B1" w:rsidRPr="00011474" w:rsidRDefault="004649B1" w:rsidP="00134B5B">
            <w:pPr>
              <w:pStyle w:val="Balk2"/>
              <w:spacing w:before="0" w:after="0"/>
              <w:ind w:left="0"/>
              <w:jc w:val="both"/>
              <w:rPr>
                <w:rFonts w:ascii="Century" w:hAnsi="Century"/>
                <w:i w:val="0"/>
                <w:sz w:val="24"/>
                <w:szCs w:val="24"/>
                <w:lang w:val="tr-TR"/>
              </w:rPr>
            </w:pPr>
            <w:bookmarkStart w:id="17" w:name="_Toc170253085"/>
            <w:bookmarkStart w:id="18" w:name="_Toc198287691"/>
            <w:bookmarkStart w:id="19" w:name="_Toc199251237"/>
            <w:r w:rsidRPr="00011474">
              <w:rPr>
                <w:rFonts w:ascii="Century" w:hAnsi="Century"/>
                <w:i w:val="0"/>
                <w:sz w:val="24"/>
                <w:szCs w:val="24"/>
                <w:lang w:val="tr-TR"/>
              </w:rPr>
              <w:lastRenderedPageBreak/>
              <w:t xml:space="preserve">Sigorta ve Bireysel Emeklilik </w:t>
            </w:r>
            <w:r w:rsidR="00855C5D" w:rsidRPr="00011474">
              <w:rPr>
                <w:rFonts w:ascii="Century" w:hAnsi="Century"/>
                <w:i w:val="0"/>
                <w:sz w:val="24"/>
                <w:szCs w:val="24"/>
                <w:lang w:val="tr-TR"/>
              </w:rPr>
              <w:t xml:space="preserve">  </w:t>
            </w:r>
            <w:r w:rsidRPr="00011474">
              <w:rPr>
                <w:rFonts w:ascii="Century" w:hAnsi="Century"/>
                <w:i w:val="0"/>
                <w:sz w:val="24"/>
                <w:szCs w:val="24"/>
                <w:lang w:val="tr-TR"/>
              </w:rPr>
              <w:t>Şirketlerinin Genel Yapısı</w:t>
            </w:r>
            <w:bookmarkEnd w:id="17"/>
            <w:bookmarkEnd w:id="18"/>
            <w:bookmarkEnd w:id="19"/>
          </w:p>
          <w:p w:rsidR="00063D2E" w:rsidRPr="00011474" w:rsidRDefault="00063D2E" w:rsidP="00134B5B">
            <w:pPr>
              <w:jc w:val="both"/>
              <w:rPr>
                <w:sz w:val="20"/>
                <w:szCs w:val="20"/>
                <w:lang w:val="tr-TR"/>
              </w:rPr>
            </w:pPr>
          </w:p>
          <w:p w:rsidR="004649B1" w:rsidRPr="00011474" w:rsidRDefault="004649B1" w:rsidP="00134B5B">
            <w:pPr>
              <w:pStyle w:val="Balk3"/>
              <w:spacing w:before="0" w:after="0"/>
              <w:ind w:left="0"/>
              <w:jc w:val="both"/>
              <w:rPr>
                <w:rFonts w:ascii="Century" w:hAnsi="Century"/>
                <w:sz w:val="24"/>
                <w:szCs w:val="24"/>
                <w:lang w:val="tr-TR"/>
              </w:rPr>
            </w:pPr>
            <w:bookmarkStart w:id="20" w:name="_Toc170253086"/>
            <w:bookmarkStart w:id="21" w:name="_Toc198287692"/>
            <w:bookmarkStart w:id="22" w:name="_Toc199251238"/>
            <w:r w:rsidRPr="00011474">
              <w:rPr>
                <w:rFonts w:ascii="Century" w:hAnsi="Century"/>
                <w:sz w:val="24"/>
                <w:szCs w:val="24"/>
                <w:lang w:val="tr-TR"/>
              </w:rPr>
              <w:t>Sigorta ve Bireysel Emeklilik Şirketlerinin Yapısal Göstergeleri</w:t>
            </w:r>
            <w:bookmarkEnd w:id="20"/>
            <w:bookmarkEnd w:id="21"/>
            <w:bookmarkEnd w:id="22"/>
          </w:p>
          <w:p w:rsidR="004649B1" w:rsidRPr="00011474" w:rsidRDefault="004649B1" w:rsidP="00134B5B">
            <w:pPr>
              <w:jc w:val="both"/>
              <w:rPr>
                <w:rFonts w:ascii="Century" w:hAnsi="Century"/>
                <w:sz w:val="20"/>
                <w:szCs w:val="20"/>
                <w:lang w:val="tr-TR"/>
              </w:rPr>
            </w:pPr>
          </w:p>
          <w:p w:rsidR="00AF54EB" w:rsidRPr="00011474" w:rsidRDefault="00AF54EB" w:rsidP="00AF54EB">
            <w:pPr>
              <w:jc w:val="both"/>
              <w:rPr>
                <w:rFonts w:ascii="Century" w:hAnsi="Century"/>
                <w:lang w:val="tr-TR"/>
              </w:rPr>
            </w:pPr>
            <w:r w:rsidRPr="00011474">
              <w:rPr>
                <w:rFonts w:ascii="Century" w:hAnsi="Century"/>
                <w:lang w:val="tr-TR"/>
              </w:rPr>
              <w:t>Türkiye’de sigortacılık ve bireysel emeklilik sektörünün 200</w:t>
            </w:r>
            <w:r w:rsidR="00B85ECA" w:rsidRPr="00011474">
              <w:rPr>
                <w:rFonts w:ascii="Century" w:hAnsi="Century"/>
                <w:lang w:val="tr-TR"/>
              </w:rPr>
              <w:t>7</w:t>
            </w:r>
            <w:r w:rsidR="00011474" w:rsidRPr="00011474">
              <w:rPr>
                <w:rFonts w:ascii="Century" w:hAnsi="Century"/>
                <w:lang w:val="tr-TR"/>
              </w:rPr>
              <w:t xml:space="preserve"> </w:t>
            </w:r>
            <w:r w:rsidRPr="00011474">
              <w:rPr>
                <w:rFonts w:ascii="Century" w:hAnsi="Century"/>
                <w:lang w:val="tr-TR"/>
              </w:rPr>
              <w:t>yılı faaliyetlerine ilişkin olarak hazırlanan bu Rapor’da, 3</w:t>
            </w:r>
            <w:r w:rsidR="00011474" w:rsidRPr="00011474">
              <w:rPr>
                <w:rFonts w:ascii="Century" w:hAnsi="Century"/>
                <w:lang w:val="tr-TR"/>
              </w:rPr>
              <w:t>5</w:t>
            </w:r>
            <w:r w:rsidRPr="00011474">
              <w:rPr>
                <w:rFonts w:ascii="Century" w:hAnsi="Century"/>
                <w:lang w:val="tr-TR"/>
              </w:rPr>
              <w:t xml:space="preserve"> hayat dışı, 2</w:t>
            </w:r>
            <w:r w:rsidR="00011474" w:rsidRPr="00011474">
              <w:rPr>
                <w:rFonts w:ascii="Century" w:hAnsi="Century"/>
                <w:lang w:val="tr-TR"/>
              </w:rPr>
              <w:t>4</w:t>
            </w:r>
            <w:r w:rsidRPr="00011474">
              <w:rPr>
                <w:rFonts w:ascii="Century" w:hAnsi="Century"/>
                <w:lang w:val="tr-TR"/>
              </w:rPr>
              <w:t xml:space="preserve"> hayat ve emeklilik ve </w:t>
            </w:r>
            <w:r w:rsidR="00011474" w:rsidRPr="00011474">
              <w:rPr>
                <w:rFonts w:ascii="Century" w:hAnsi="Century"/>
                <w:lang w:val="tr-TR"/>
              </w:rPr>
              <w:t>2</w:t>
            </w:r>
            <w:r w:rsidRPr="00011474">
              <w:rPr>
                <w:rFonts w:ascii="Century" w:hAnsi="Century"/>
                <w:lang w:val="tr-TR"/>
              </w:rPr>
              <w:t xml:space="preserve"> reasürans olmak üzere toplam </w:t>
            </w:r>
            <w:r w:rsidR="00011474" w:rsidRPr="00011474">
              <w:rPr>
                <w:rFonts w:ascii="Century" w:hAnsi="Century"/>
                <w:lang w:val="tr-TR"/>
              </w:rPr>
              <w:t>61</w:t>
            </w:r>
            <w:r w:rsidRPr="00011474">
              <w:rPr>
                <w:rFonts w:ascii="Century" w:hAnsi="Century"/>
                <w:lang w:val="tr-TR"/>
              </w:rPr>
              <w:t xml:space="preserve"> şirketin verileri yer almaktadır. Rapor’un Tablolar başlıklı ikinci kısmının ilk ve son bölümlerinde şirketlerin tamamına, iki</w:t>
            </w:r>
            <w:r w:rsidR="007561C9">
              <w:rPr>
                <w:rFonts w:ascii="Century" w:hAnsi="Century"/>
                <w:lang w:val="tr-TR"/>
              </w:rPr>
              <w:t>nci ve</w:t>
            </w:r>
            <w:r w:rsidRPr="00011474">
              <w:rPr>
                <w:rFonts w:ascii="Century" w:hAnsi="Century"/>
                <w:lang w:val="tr-TR"/>
              </w:rPr>
              <w:t xml:space="preserve"> üç</w:t>
            </w:r>
            <w:r w:rsidR="006001BF">
              <w:rPr>
                <w:rFonts w:ascii="Century" w:hAnsi="Century"/>
                <w:lang w:val="tr-TR"/>
              </w:rPr>
              <w:t>üncü</w:t>
            </w:r>
            <w:r w:rsidRPr="00011474">
              <w:rPr>
                <w:rFonts w:ascii="Century" w:hAnsi="Century"/>
                <w:lang w:val="tr-TR"/>
              </w:rPr>
              <w:t xml:space="preserve"> bölümlerinde ise sadece faal olarak çalışan </w:t>
            </w:r>
            <w:r w:rsidR="00011474" w:rsidRPr="00011474">
              <w:rPr>
                <w:rFonts w:ascii="Century" w:hAnsi="Century"/>
                <w:lang w:val="tr-TR"/>
              </w:rPr>
              <w:t xml:space="preserve">48 sigorta ve </w:t>
            </w:r>
            <w:r w:rsidRPr="00011474">
              <w:rPr>
                <w:rFonts w:ascii="Century" w:hAnsi="Century"/>
                <w:lang w:val="tr-TR"/>
              </w:rPr>
              <w:t>bireysel emeklilik şirketine ait veriler kullanılmıştır. Faaliyetleri kamu otoritesi tarafından durdurulmuş ya da izin almak suretiyle kendi istekleri ile faaliyette bulunmayan yedi hayat dışı ve bir hayat sigorta şirketi</w:t>
            </w:r>
            <w:r w:rsidR="00B3298E">
              <w:rPr>
                <w:rFonts w:ascii="Century" w:hAnsi="Century"/>
                <w:lang w:val="tr-TR"/>
              </w:rPr>
              <w:t xml:space="preserve"> ile yeni kurulan ve prim üretiminde bulunmayan bir hayat dışı</w:t>
            </w:r>
            <w:r w:rsidR="007561C9">
              <w:rPr>
                <w:rFonts w:ascii="Century" w:hAnsi="Century"/>
                <w:lang w:val="tr-TR"/>
              </w:rPr>
              <w:t xml:space="preserve"> ve</w:t>
            </w:r>
            <w:r w:rsidR="00B3298E">
              <w:rPr>
                <w:rFonts w:ascii="Century" w:hAnsi="Century"/>
                <w:lang w:val="tr-TR"/>
              </w:rPr>
              <w:t xml:space="preserve"> iki hayat sigorta şirketi</w:t>
            </w:r>
            <w:r w:rsidRPr="00011474">
              <w:rPr>
                <w:rFonts w:ascii="Century" w:hAnsi="Century"/>
                <w:lang w:val="tr-TR"/>
              </w:rPr>
              <w:t>ne ait verilere açıklanan bölümlerde yer verilmemiştir.</w:t>
            </w:r>
          </w:p>
          <w:p w:rsidR="00AF54EB" w:rsidRPr="00674E6D" w:rsidRDefault="00AF54EB" w:rsidP="00B3298E">
            <w:pPr>
              <w:jc w:val="both"/>
              <w:rPr>
                <w:rFonts w:ascii="Century" w:hAnsi="Century"/>
                <w:lang w:val="tr-TR"/>
              </w:rPr>
            </w:pPr>
          </w:p>
          <w:p w:rsidR="009F2941" w:rsidRPr="00011474" w:rsidRDefault="00011474" w:rsidP="00B3298E">
            <w:pPr>
              <w:pStyle w:val="GvdeMetniGirintisi2"/>
              <w:tabs>
                <w:tab w:val="left" w:pos="1440"/>
              </w:tabs>
              <w:spacing w:after="0" w:line="240" w:lineRule="auto"/>
              <w:ind w:left="0"/>
              <w:jc w:val="both"/>
              <w:rPr>
                <w:rFonts w:ascii="Century" w:hAnsi="Century"/>
              </w:rPr>
            </w:pPr>
            <w:r w:rsidRPr="00011474">
              <w:rPr>
                <w:rFonts w:ascii="Century" w:hAnsi="Century"/>
              </w:rPr>
              <w:t>2007</w:t>
            </w:r>
            <w:r w:rsidR="004649B1" w:rsidRPr="00011474">
              <w:rPr>
                <w:rFonts w:ascii="Century" w:hAnsi="Century"/>
              </w:rPr>
              <w:t xml:space="preserve"> yıl sonu itibariyle sigorta</w:t>
            </w:r>
            <w:r w:rsidR="00174660" w:rsidRPr="00011474">
              <w:rPr>
                <w:rFonts w:ascii="Century" w:hAnsi="Century"/>
              </w:rPr>
              <w:t>cılık</w:t>
            </w:r>
            <w:r w:rsidR="004649B1" w:rsidRPr="00011474">
              <w:rPr>
                <w:rFonts w:ascii="Century" w:hAnsi="Century"/>
              </w:rPr>
              <w:t xml:space="preserve"> ve bireysel emeklilik</w:t>
            </w:r>
            <w:r w:rsidR="00174660" w:rsidRPr="00011474">
              <w:rPr>
                <w:rFonts w:ascii="Century" w:hAnsi="Century"/>
              </w:rPr>
              <w:t xml:space="preserve"> sektöründe</w:t>
            </w:r>
            <w:r w:rsidR="004649B1" w:rsidRPr="00011474">
              <w:rPr>
                <w:rFonts w:ascii="Century" w:hAnsi="Century"/>
              </w:rPr>
              <w:t xml:space="preserve"> mevcut </w:t>
            </w:r>
            <w:r w:rsidRPr="00011474">
              <w:rPr>
                <w:rFonts w:ascii="Century" w:hAnsi="Century"/>
              </w:rPr>
              <w:t>61</w:t>
            </w:r>
            <w:r w:rsidR="004649B1" w:rsidRPr="00011474">
              <w:rPr>
                <w:rFonts w:ascii="Century" w:hAnsi="Century"/>
              </w:rPr>
              <w:t xml:space="preserve"> şirketten </w:t>
            </w:r>
            <w:r w:rsidRPr="00011474">
              <w:rPr>
                <w:rFonts w:ascii="Century" w:hAnsi="Century"/>
              </w:rPr>
              <w:t>35</w:t>
            </w:r>
            <w:r w:rsidR="004649B1" w:rsidRPr="00011474">
              <w:rPr>
                <w:rFonts w:ascii="Century" w:hAnsi="Century"/>
              </w:rPr>
              <w:t>’</w:t>
            </w:r>
            <w:r w:rsidRPr="00011474">
              <w:rPr>
                <w:rFonts w:ascii="Century" w:hAnsi="Century"/>
              </w:rPr>
              <w:t>i</w:t>
            </w:r>
            <w:r w:rsidR="004649B1" w:rsidRPr="00011474">
              <w:rPr>
                <w:rFonts w:ascii="Century" w:hAnsi="Century"/>
              </w:rPr>
              <w:t xml:space="preserve"> doğrudan veya dolaylı olarak yabancı ortaklıdır. </w:t>
            </w:r>
            <w:r w:rsidR="00C576B0">
              <w:rPr>
                <w:rFonts w:ascii="Century" w:hAnsi="Century"/>
              </w:rPr>
              <w:t>Yabancı sermayenin</w:t>
            </w:r>
            <w:r w:rsidR="005B752C" w:rsidRPr="00011474">
              <w:rPr>
                <w:rFonts w:ascii="Century" w:hAnsi="Century"/>
              </w:rPr>
              <w:t xml:space="preserve"> toplam prim üretimi içindeki payı %</w:t>
            </w:r>
            <w:r w:rsidRPr="00011474">
              <w:rPr>
                <w:rFonts w:ascii="Century" w:hAnsi="Century"/>
              </w:rPr>
              <w:t>41</w:t>
            </w:r>
            <w:r w:rsidR="005B752C" w:rsidRPr="00011474">
              <w:rPr>
                <w:rFonts w:ascii="Century" w:hAnsi="Century"/>
              </w:rPr>
              <w:t>’</w:t>
            </w:r>
            <w:r w:rsidRPr="00011474">
              <w:rPr>
                <w:rFonts w:ascii="Century" w:hAnsi="Century"/>
              </w:rPr>
              <w:t>dir.</w:t>
            </w:r>
            <w:r w:rsidR="005B752C" w:rsidRPr="00011474">
              <w:rPr>
                <w:rFonts w:ascii="Century" w:hAnsi="Century"/>
              </w:rPr>
              <w:t xml:space="preserve"> </w:t>
            </w:r>
            <w:r w:rsidR="005D5182">
              <w:rPr>
                <w:rFonts w:ascii="Century" w:hAnsi="Century"/>
              </w:rPr>
              <w:t>Hayat dışı sigortacılık alanında 19 şirket yabancı ortaklı olup, hayat dışı prim üreti</w:t>
            </w:r>
            <w:r w:rsidR="00E358C1">
              <w:rPr>
                <w:rFonts w:ascii="Century" w:hAnsi="Century"/>
              </w:rPr>
              <w:t>minde yabancı sermayenin payı %</w:t>
            </w:r>
            <w:r w:rsidR="005D5182">
              <w:rPr>
                <w:rFonts w:ascii="Century" w:hAnsi="Century"/>
              </w:rPr>
              <w:t>41’dir. Hayat / Emeklilik alanında ise yabancı ortaklı şirket sayısı 16 olup, prim üretiminde yabancı sermayenin payı</w:t>
            </w:r>
            <w:r w:rsidR="005B752C" w:rsidRPr="00011474">
              <w:rPr>
                <w:rFonts w:ascii="Century" w:hAnsi="Century"/>
              </w:rPr>
              <w:t xml:space="preserve"> %</w:t>
            </w:r>
            <w:r>
              <w:rPr>
                <w:rFonts w:ascii="Century" w:hAnsi="Century"/>
              </w:rPr>
              <w:t xml:space="preserve"> </w:t>
            </w:r>
            <w:r w:rsidRPr="00011474">
              <w:rPr>
                <w:rFonts w:ascii="Century" w:hAnsi="Century"/>
              </w:rPr>
              <w:t>43</w:t>
            </w:r>
            <w:r w:rsidR="005B752C" w:rsidRPr="00011474">
              <w:rPr>
                <w:rFonts w:ascii="Century" w:hAnsi="Century"/>
              </w:rPr>
              <w:t>’</w:t>
            </w:r>
            <w:r w:rsidRPr="00011474">
              <w:rPr>
                <w:rFonts w:ascii="Century" w:hAnsi="Century"/>
              </w:rPr>
              <w:t>tür.</w:t>
            </w:r>
          </w:p>
          <w:p w:rsidR="009F2941" w:rsidRPr="00674E6D" w:rsidRDefault="009F2941" w:rsidP="00063D2E">
            <w:pPr>
              <w:pStyle w:val="GvdeMetniGirintisi2"/>
              <w:tabs>
                <w:tab w:val="left" w:pos="1440"/>
              </w:tabs>
              <w:spacing w:after="0" w:line="240" w:lineRule="auto"/>
              <w:ind w:left="0"/>
              <w:jc w:val="both"/>
              <w:rPr>
                <w:rFonts w:ascii="Century" w:hAnsi="Century"/>
              </w:rPr>
            </w:pPr>
          </w:p>
          <w:p w:rsidR="004649B1" w:rsidRPr="005D5182" w:rsidRDefault="00E358C1" w:rsidP="00063D2E">
            <w:pPr>
              <w:pStyle w:val="GvdeMetniGirintisi2"/>
              <w:tabs>
                <w:tab w:val="left" w:pos="1440"/>
              </w:tabs>
              <w:spacing w:after="0" w:line="240" w:lineRule="auto"/>
              <w:ind w:left="0"/>
              <w:jc w:val="both"/>
              <w:rPr>
                <w:rFonts w:ascii="Century" w:hAnsi="Century" w:cs="Arial"/>
              </w:rPr>
            </w:pPr>
            <w:r w:rsidRPr="00E358C1">
              <w:rPr>
                <w:rFonts w:ascii="Century" w:hAnsi="Century"/>
              </w:rPr>
              <w:t>Yabancı sermayenin toplam ödenmiş sermaye içinde</w:t>
            </w:r>
            <w:r w:rsidR="00C576B0">
              <w:rPr>
                <w:rFonts w:ascii="Century" w:hAnsi="Century"/>
              </w:rPr>
              <w:t>ki</w:t>
            </w:r>
            <w:r w:rsidRPr="00E358C1">
              <w:rPr>
                <w:rFonts w:ascii="Century" w:hAnsi="Century"/>
              </w:rPr>
              <w:t xml:space="preserve"> payı 2007 yılı sonunda %38 olarak gerçekleşmiştir.</w:t>
            </w:r>
            <w:r w:rsidR="005B752C" w:rsidRPr="00E358C1">
              <w:rPr>
                <w:rFonts w:ascii="Century" w:hAnsi="Century"/>
              </w:rPr>
              <w:t xml:space="preserve"> H</w:t>
            </w:r>
            <w:r w:rsidR="00A500A5" w:rsidRPr="00E358C1">
              <w:rPr>
                <w:rFonts w:ascii="Century" w:hAnsi="Century"/>
              </w:rPr>
              <w:t>ayat dışı sigortacılık alanında, ö</w:t>
            </w:r>
            <w:r w:rsidR="004649B1" w:rsidRPr="00E358C1">
              <w:rPr>
                <w:rFonts w:ascii="Century" w:hAnsi="Century"/>
              </w:rPr>
              <w:t>denmiş</w:t>
            </w:r>
            <w:r w:rsidR="004649B1" w:rsidRPr="005D5182">
              <w:rPr>
                <w:rFonts w:ascii="Century" w:hAnsi="Century"/>
              </w:rPr>
              <w:t xml:space="preserve"> sermaye içinde yabancı sermayenin payı %</w:t>
            </w:r>
            <w:r w:rsidR="0042127E" w:rsidRPr="005D5182">
              <w:rPr>
                <w:rFonts w:ascii="Century" w:hAnsi="Century"/>
              </w:rPr>
              <w:t xml:space="preserve"> </w:t>
            </w:r>
            <w:r w:rsidR="00011474" w:rsidRPr="005D5182">
              <w:rPr>
                <w:rFonts w:ascii="Century" w:hAnsi="Century"/>
              </w:rPr>
              <w:t>37,6</w:t>
            </w:r>
            <w:r w:rsidR="004649B1" w:rsidRPr="005D5182">
              <w:rPr>
                <w:rFonts w:ascii="Century" w:hAnsi="Century"/>
              </w:rPr>
              <w:t>9 iken</w:t>
            </w:r>
            <w:r w:rsidR="00A500A5" w:rsidRPr="005D5182">
              <w:rPr>
                <w:rFonts w:ascii="Century" w:hAnsi="Century"/>
              </w:rPr>
              <w:t>, H</w:t>
            </w:r>
            <w:r w:rsidR="004649B1" w:rsidRPr="005D5182">
              <w:rPr>
                <w:rFonts w:ascii="Century" w:hAnsi="Century"/>
              </w:rPr>
              <w:t>ayat</w:t>
            </w:r>
            <w:r w:rsidR="005D5182">
              <w:rPr>
                <w:rFonts w:ascii="Century" w:hAnsi="Century"/>
              </w:rPr>
              <w:t xml:space="preserve"> </w:t>
            </w:r>
            <w:r w:rsidR="004649B1" w:rsidRPr="005D5182">
              <w:rPr>
                <w:rFonts w:ascii="Century" w:hAnsi="Century"/>
              </w:rPr>
              <w:t>/</w:t>
            </w:r>
            <w:r w:rsidR="005D5182">
              <w:rPr>
                <w:rFonts w:ascii="Century" w:hAnsi="Century"/>
              </w:rPr>
              <w:t xml:space="preserve"> </w:t>
            </w:r>
            <w:r w:rsidR="00A500A5" w:rsidRPr="005D5182">
              <w:rPr>
                <w:rFonts w:ascii="Century" w:hAnsi="Century"/>
              </w:rPr>
              <w:t>E</w:t>
            </w:r>
            <w:r w:rsidR="004649B1" w:rsidRPr="005D5182">
              <w:rPr>
                <w:rFonts w:ascii="Century" w:hAnsi="Century"/>
              </w:rPr>
              <w:t xml:space="preserve">meklilik alanında </w:t>
            </w:r>
            <w:r>
              <w:rPr>
                <w:rFonts w:ascii="Century" w:hAnsi="Century"/>
              </w:rPr>
              <w:t xml:space="preserve">bu oran </w:t>
            </w:r>
            <w:r w:rsidR="00A500A5" w:rsidRPr="005D5182">
              <w:rPr>
                <w:rFonts w:ascii="Century" w:hAnsi="Century"/>
              </w:rPr>
              <w:t>%3</w:t>
            </w:r>
            <w:r w:rsidR="00011474" w:rsidRPr="005D5182">
              <w:rPr>
                <w:rFonts w:ascii="Century" w:hAnsi="Century"/>
              </w:rPr>
              <w:t>8,07</w:t>
            </w:r>
            <w:r w:rsidR="005B752C" w:rsidRPr="005D5182">
              <w:rPr>
                <w:rFonts w:ascii="Century" w:hAnsi="Century"/>
              </w:rPr>
              <w:t>’</w:t>
            </w:r>
            <w:r w:rsidR="00011474" w:rsidRPr="005D5182">
              <w:rPr>
                <w:rFonts w:ascii="Century" w:hAnsi="Century"/>
              </w:rPr>
              <w:t>dir.</w:t>
            </w:r>
            <w:r w:rsidR="00A500A5" w:rsidRPr="005D5182">
              <w:rPr>
                <w:rFonts w:ascii="Century" w:hAnsi="Century"/>
              </w:rPr>
              <w:t xml:space="preserve"> </w:t>
            </w:r>
          </w:p>
          <w:p w:rsidR="009D42E2" w:rsidRDefault="004649B1" w:rsidP="00063D2E">
            <w:pPr>
              <w:pStyle w:val="GvdeMetniGirintisi2"/>
              <w:tabs>
                <w:tab w:val="left" w:pos="1440"/>
              </w:tabs>
              <w:spacing w:after="0" w:line="240" w:lineRule="auto"/>
              <w:ind w:left="0"/>
              <w:jc w:val="both"/>
              <w:rPr>
                <w:rFonts w:ascii="Century" w:hAnsi="Century" w:cs="Arial"/>
                <w:highlight w:val="yellow"/>
              </w:rPr>
            </w:pPr>
            <w:r w:rsidRPr="00367FA3">
              <w:rPr>
                <w:rFonts w:ascii="Century" w:hAnsi="Century" w:cs="Arial"/>
                <w:highlight w:val="yellow"/>
              </w:rPr>
              <w:t xml:space="preserve"> </w:t>
            </w:r>
          </w:p>
          <w:p w:rsidR="004649B1" w:rsidRPr="005D5182" w:rsidRDefault="00174660" w:rsidP="00063D2E">
            <w:pPr>
              <w:jc w:val="both"/>
              <w:rPr>
                <w:rFonts w:ascii="Century" w:hAnsi="Century"/>
                <w:lang w:val="tr-TR"/>
              </w:rPr>
            </w:pPr>
            <w:r w:rsidRPr="005D5182">
              <w:rPr>
                <w:rFonts w:ascii="Century" w:hAnsi="Century"/>
                <w:lang w:val="tr-TR"/>
              </w:rPr>
              <w:lastRenderedPageBreak/>
              <w:t>Türkiye’de sigorta</w:t>
            </w:r>
            <w:r w:rsidR="004649B1" w:rsidRPr="005D5182">
              <w:rPr>
                <w:rFonts w:ascii="Century" w:hAnsi="Century"/>
                <w:lang w:val="tr-TR"/>
              </w:rPr>
              <w:t xml:space="preserve"> potansiyelinin yüksek olması ve sigorta</w:t>
            </w:r>
            <w:r w:rsidR="009D559E" w:rsidRPr="005D5182">
              <w:rPr>
                <w:rFonts w:ascii="Century" w:hAnsi="Century"/>
                <w:lang w:val="tr-TR"/>
              </w:rPr>
              <w:t>cılık</w:t>
            </w:r>
            <w:r w:rsidR="004649B1" w:rsidRPr="005D5182">
              <w:rPr>
                <w:rFonts w:ascii="Century" w:hAnsi="Century"/>
                <w:lang w:val="tr-TR"/>
              </w:rPr>
              <w:t xml:space="preserve"> ve bireysel emeklilik sektörünün son yıllarda gösterdiği </w:t>
            </w:r>
            <w:r w:rsidR="009D559E" w:rsidRPr="005D5182">
              <w:rPr>
                <w:rFonts w:ascii="Century" w:hAnsi="Century"/>
                <w:lang w:val="tr-TR"/>
              </w:rPr>
              <w:t xml:space="preserve">hızlı </w:t>
            </w:r>
            <w:r w:rsidR="004649B1" w:rsidRPr="005D5182">
              <w:rPr>
                <w:rFonts w:ascii="Century" w:hAnsi="Century"/>
                <w:lang w:val="tr-TR"/>
              </w:rPr>
              <w:t>geliş</w:t>
            </w:r>
            <w:r w:rsidR="00C564EE">
              <w:rPr>
                <w:rFonts w:ascii="Century" w:hAnsi="Century"/>
                <w:lang w:val="tr-TR"/>
              </w:rPr>
              <w:t>me</w:t>
            </w:r>
            <w:r w:rsidR="004649B1" w:rsidRPr="005D5182">
              <w:rPr>
                <w:rFonts w:ascii="Century" w:hAnsi="Century"/>
                <w:lang w:val="tr-TR"/>
              </w:rPr>
              <w:t xml:space="preserve"> yabancı yatırımcı</w:t>
            </w:r>
            <w:r w:rsidR="009D559E" w:rsidRPr="005D5182">
              <w:rPr>
                <w:rFonts w:ascii="Century" w:hAnsi="Century"/>
                <w:lang w:val="tr-TR"/>
              </w:rPr>
              <w:t>ları</w:t>
            </w:r>
            <w:r w:rsidR="004649B1" w:rsidRPr="005D5182">
              <w:rPr>
                <w:rFonts w:ascii="Century" w:hAnsi="Century"/>
                <w:lang w:val="tr-TR"/>
              </w:rPr>
              <w:t xml:space="preserve"> Türk sigorta</w:t>
            </w:r>
            <w:r w:rsidRPr="005D5182">
              <w:rPr>
                <w:rFonts w:ascii="Century" w:hAnsi="Century"/>
                <w:lang w:val="tr-TR"/>
              </w:rPr>
              <w:t>cılık</w:t>
            </w:r>
            <w:r w:rsidR="004649B1" w:rsidRPr="005D5182">
              <w:rPr>
                <w:rFonts w:ascii="Century" w:hAnsi="Century"/>
                <w:lang w:val="tr-TR"/>
              </w:rPr>
              <w:t xml:space="preserve"> piyasasına yöneltmektedir. </w:t>
            </w:r>
            <w:r w:rsidR="009D559E" w:rsidRPr="005D5182">
              <w:rPr>
                <w:rFonts w:ascii="Century" w:hAnsi="Century"/>
                <w:lang w:val="tr-TR"/>
              </w:rPr>
              <w:t>Ü</w:t>
            </w:r>
            <w:r w:rsidR="004649B1" w:rsidRPr="005D5182">
              <w:rPr>
                <w:rFonts w:ascii="Century" w:hAnsi="Century"/>
                <w:lang w:val="tr-TR"/>
              </w:rPr>
              <w:t xml:space="preserve">lkelerinde sigortalılık oranı </w:t>
            </w:r>
            <w:r w:rsidRPr="005D5182">
              <w:rPr>
                <w:rFonts w:ascii="Century" w:hAnsi="Century"/>
                <w:lang w:val="tr-TR"/>
              </w:rPr>
              <w:t xml:space="preserve">üst sınırına yaklaşmış </w:t>
            </w:r>
            <w:r w:rsidR="004649B1" w:rsidRPr="005D5182">
              <w:rPr>
                <w:rFonts w:ascii="Century" w:hAnsi="Century"/>
                <w:lang w:val="tr-TR"/>
              </w:rPr>
              <w:t>yabancı yatırımcı</w:t>
            </w:r>
            <w:r w:rsidR="009D559E" w:rsidRPr="005D5182">
              <w:rPr>
                <w:rFonts w:ascii="Century" w:hAnsi="Century"/>
                <w:lang w:val="tr-TR"/>
              </w:rPr>
              <w:t>ların,</w:t>
            </w:r>
            <w:r w:rsidR="004649B1" w:rsidRPr="005D5182">
              <w:rPr>
                <w:rFonts w:ascii="Century" w:hAnsi="Century"/>
                <w:lang w:val="tr-TR"/>
              </w:rPr>
              <w:t xml:space="preserve"> </w:t>
            </w:r>
            <w:r w:rsidR="009D559E" w:rsidRPr="005D5182">
              <w:rPr>
                <w:rFonts w:ascii="Century" w:hAnsi="Century"/>
                <w:lang w:val="tr-TR"/>
              </w:rPr>
              <w:t xml:space="preserve">Türkiye de dahil olmak üzere </w:t>
            </w:r>
            <w:r w:rsidR="004649B1" w:rsidRPr="005D5182">
              <w:rPr>
                <w:rFonts w:ascii="Century" w:hAnsi="Century"/>
                <w:lang w:val="tr-TR"/>
              </w:rPr>
              <w:t>gelişmekte olan ülkelerde yatırım yapmaya yönelmesi, ülkemiz sigorta</w:t>
            </w:r>
            <w:r w:rsidR="000655DC" w:rsidRPr="005D5182">
              <w:rPr>
                <w:rFonts w:ascii="Century" w:hAnsi="Century"/>
                <w:lang w:val="tr-TR"/>
              </w:rPr>
              <w:t>cılık</w:t>
            </w:r>
            <w:r w:rsidR="004649B1" w:rsidRPr="005D5182">
              <w:rPr>
                <w:rFonts w:ascii="Century" w:hAnsi="Century"/>
                <w:lang w:val="tr-TR"/>
              </w:rPr>
              <w:t xml:space="preserve"> sektöründe 2006 yılında başlayan hareketlenme</w:t>
            </w:r>
            <w:r w:rsidR="005D5182" w:rsidRPr="005D5182">
              <w:rPr>
                <w:rFonts w:ascii="Century" w:hAnsi="Century"/>
                <w:lang w:val="tr-TR"/>
              </w:rPr>
              <w:t xml:space="preserve">nin </w:t>
            </w:r>
            <w:r w:rsidR="004649B1" w:rsidRPr="005D5182">
              <w:rPr>
                <w:rFonts w:ascii="Century" w:hAnsi="Century"/>
                <w:lang w:val="tr-TR"/>
              </w:rPr>
              <w:t>200</w:t>
            </w:r>
            <w:r w:rsidR="00674E6D">
              <w:rPr>
                <w:rFonts w:ascii="Century" w:hAnsi="Century"/>
                <w:lang w:val="tr-TR"/>
              </w:rPr>
              <w:t>7 ve 2008</w:t>
            </w:r>
            <w:r w:rsidR="004649B1" w:rsidRPr="005D5182">
              <w:rPr>
                <w:rFonts w:ascii="Century" w:hAnsi="Century"/>
                <w:lang w:val="tr-TR"/>
              </w:rPr>
              <w:t xml:space="preserve"> yıl</w:t>
            </w:r>
            <w:r w:rsidR="00674E6D">
              <w:rPr>
                <w:rFonts w:ascii="Century" w:hAnsi="Century"/>
                <w:lang w:val="tr-TR"/>
              </w:rPr>
              <w:t>lar</w:t>
            </w:r>
            <w:r w:rsidR="004649B1" w:rsidRPr="005D5182">
              <w:rPr>
                <w:rFonts w:ascii="Century" w:hAnsi="Century"/>
                <w:lang w:val="tr-TR"/>
              </w:rPr>
              <w:t>ında da devam et</w:t>
            </w:r>
            <w:r w:rsidR="005D5182" w:rsidRPr="005D5182">
              <w:rPr>
                <w:rFonts w:ascii="Century" w:hAnsi="Century"/>
                <w:lang w:val="tr-TR"/>
              </w:rPr>
              <w:t>mesini sağlamaktadır.</w:t>
            </w:r>
            <w:r w:rsidR="004649B1" w:rsidRPr="005D5182">
              <w:rPr>
                <w:rFonts w:ascii="Century" w:hAnsi="Century"/>
                <w:lang w:val="tr-TR"/>
              </w:rPr>
              <w:t xml:space="preserve"> </w:t>
            </w:r>
          </w:p>
          <w:p w:rsidR="00855C5D" w:rsidRPr="00367FA3" w:rsidRDefault="00855C5D" w:rsidP="008D17FE">
            <w:pPr>
              <w:rPr>
                <w:rFonts w:ascii="Century" w:hAnsi="Century"/>
                <w:sz w:val="20"/>
                <w:szCs w:val="20"/>
                <w:highlight w:val="yellow"/>
                <w:lang w:val="tr-TR"/>
              </w:rPr>
            </w:pPr>
          </w:p>
        </w:tc>
        <w:tc>
          <w:tcPr>
            <w:tcW w:w="236" w:type="dxa"/>
            <w:gridSpan w:val="2"/>
          </w:tcPr>
          <w:p w:rsidR="001700F0" w:rsidRPr="00367FA3" w:rsidRDefault="001700F0" w:rsidP="008D17FE">
            <w:pPr>
              <w:rPr>
                <w:rFonts w:ascii="Century" w:hAnsi="Century"/>
                <w:highlight w:val="yellow"/>
                <w:lang w:val="tr-TR"/>
              </w:rPr>
            </w:pPr>
          </w:p>
        </w:tc>
        <w:tc>
          <w:tcPr>
            <w:tcW w:w="4804" w:type="dxa"/>
          </w:tcPr>
          <w:p w:rsidR="00A64F2F" w:rsidRPr="00CF3FF2" w:rsidRDefault="00EF2418" w:rsidP="00134B5B">
            <w:pPr>
              <w:tabs>
                <w:tab w:val="left" w:pos="511"/>
              </w:tabs>
              <w:jc w:val="both"/>
              <w:rPr>
                <w:rFonts w:ascii="Century" w:hAnsi="Century"/>
                <w:b/>
                <w:color w:val="404040"/>
              </w:rPr>
            </w:pPr>
            <w:r w:rsidRPr="00CF3FF2">
              <w:rPr>
                <w:rFonts w:ascii="Century" w:hAnsi="Century"/>
                <w:b/>
                <w:color w:val="404040"/>
              </w:rPr>
              <w:t>1</w:t>
            </w:r>
            <w:r w:rsidR="006E07B7" w:rsidRPr="00CF3FF2">
              <w:rPr>
                <w:rFonts w:ascii="Century" w:hAnsi="Century"/>
                <w:b/>
                <w:color w:val="404040"/>
              </w:rPr>
              <w:t>.3</w:t>
            </w:r>
            <w:r w:rsidR="00A64F2F" w:rsidRPr="00CF3FF2">
              <w:rPr>
                <w:rFonts w:ascii="Century" w:hAnsi="Century"/>
                <w:b/>
                <w:color w:val="404040"/>
              </w:rPr>
              <w:t xml:space="preserve">. </w:t>
            </w:r>
            <w:r w:rsidR="006E07B7" w:rsidRPr="00CF3FF2">
              <w:rPr>
                <w:rFonts w:ascii="Century" w:hAnsi="Century"/>
                <w:b/>
                <w:color w:val="404040"/>
              </w:rPr>
              <w:t xml:space="preserve"> </w:t>
            </w:r>
            <w:r w:rsidR="00A64F2F" w:rsidRPr="00CF3FF2">
              <w:rPr>
                <w:rFonts w:ascii="Century" w:hAnsi="Century"/>
                <w:b/>
                <w:color w:val="404040"/>
              </w:rPr>
              <w:t>General Structure of Insurance and Private Pension Companies</w:t>
            </w:r>
          </w:p>
          <w:p w:rsidR="006E07B7" w:rsidRPr="00CF3FF2" w:rsidRDefault="006E07B7" w:rsidP="00134B5B">
            <w:pPr>
              <w:jc w:val="both"/>
              <w:rPr>
                <w:rFonts w:ascii="Century" w:hAnsi="Century"/>
                <w:b/>
                <w:color w:val="404040"/>
                <w:sz w:val="20"/>
                <w:szCs w:val="20"/>
                <w:lang w:val="tr-TR"/>
              </w:rPr>
            </w:pPr>
          </w:p>
          <w:p w:rsidR="006E07B7" w:rsidRPr="00CF3FF2" w:rsidRDefault="00EF2418" w:rsidP="00134B5B">
            <w:pPr>
              <w:tabs>
                <w:tab w:val="left" w:pos="601"/>
              </w:tabs>
              <w:jc w:val="both"/>
              <w:rPr>
                <w:rFonts w:ascii="Century" w:hAnsi="Century"/>
                <w:b/>
                <w:color w:val="404040"/>
              </w:rPr>
            </w:pPr>
            <w:r w:rsidRPr="00CF3FF2">
              <w:rPr>
                <w:rFonts w:ascii="Century" w:hAnsi="Century"/>
                <w:b/>
                <w:color w:val="404040"/>
                <w:lang w:val="tr-TR"/>
              </w:rPr>
              <w:t>1</w:t>
            </w:r>
            <w:r w:rsidR="006E07B7" w:rsidRPr="00CF3FF2">
              <w:rPr>
                <w:rFonts w:ascii="Century" w:hAnsi="Century"/>
                <w:b/>
                <w:color w:val="404040"/>
                <w:lang w:val="tr-TR"/>
              </w:rPr>
              <w:t>.3.1. S</w:t>
            </w:r>
            <w:r w:rsidR="006E07B7" w:rsidRPr="00CF3FF2">
              <w:rPr>
                <w:rFonts w:ascii="Century" w:hAnsi="Century"/>
                <w:b/>
                <w:color w:val="404040"/>
              </w:rPr>
              <w:t>tructural Indicators of Insurance and Private Pension Companies</w:t>
            </w:r>
          </w:p>
          <w:p w:rsidR="006E07B7" w:rsidRPr="00CF3FF2" w:rsidRDefault="006E07B7" w:rsidP="00134B5B">
            <w:pPr>
              <w:jc w:val="both"/>
              <w:rPr>
                <w:rFonts w:ascii="Century" w:hAnsi="Century"/>
                <w:color w:val="404040"/>
                <w:sz w:val="20"/>
                <w:szCs w:val="20"/>
                <w:lang w:val="tr-TR"/>
              </w:rPr>
            </w:pPr>
          </w:p>
          <w:p w:rsidR="00AF54EB" w:rsidRPr="00CF3FF2" w:rsidRDefault="00AF54EB" w:rsidP="00AF54EB">
            <w:pPr>
              <w:jc w:val="both"/>
              <w:rPr>
                <w:rFonts w:ascii="Century" w:hAnsi="Century"/>
                <w:color w:val="404040"/>
              </w:rPr>
            </w:pPr>
            <w:r w:rsidRPr="00CF3FF2">
              <w:rPr>
                <w:rFonts w:ascii="Century" w:hAnsi="Century"/>
                <w:color w:val="404040"/>
              </w:rPr>
              <w:t xml:space="preserve">This report about insurance and private pension activities in </w:t>
            </w:r>
            <w:smartTag w:uri="urn:schemas-microsoft-com:office:smarttags" w:element="place">
              <w:smartTag w:uri="urn:schemas-microsoft-com:office:smarttags" w:element="country-region">
                <w:r w:rsidRPr="00CF3FF2">
                  <w:rPr>
                    <w:rFonts w:ascii="Century" w:hAnsi="Century"/>
                    <w:color w:val="404040"/>
                  </w:rPr>
                  <w:t>Turkey</w:t>
                </w:r>
              </w:smartTag>
            </w:smartTag>
            <w:r w:rsidRPr="00CF3FF2">
              <w:rPr>
                <w:rFonts w:ascii="Century" w:hAnsi="Century"/>
                <w:color w:val="404040"/>
              </w:rPr>
              <w:t xml:space="preserve"> in 200</w:t>
            </w:r>
            <w:r w:rsidR="00011474" w:rsidRPr="00CF3FF2">
              <w:rPr>
                <w:rFonts w:ascii="Century" w:hAnsi="Century"/>
                <w:color w:val="404040"/>
              </w:rPr>
              <w:t>7</w:t>
            </w:r>
            <w:r w:rsidRPr="00CF3FF2">
              <w:rPr>
                <w:rFonts w:ascii="Century" w:hAnsi="Century"/>
                <w:color w:val="404040"/>
              </w:rPr>
              <w:t xml:space="preserve"> contains the data for total of </w:t>
            </w:r>
            <w:r w:rsidR="00011474" w:rsidRPr="00CF3FF2">
              <w:rPr>
                <w:rFonts w:ascii="Century" w:hAnsi="Century"/>
                <w:color w:val="404040"/>
              </w:rPr>
              <w:t>61</w:t>
            </w:r>
            <w:r w:rsidRPr="00CF3FF2">
              <w:rPr>
                <w:rFonts w:ascii="Century" w:hAnsi="Century"/>
                <w:color w:val="404040"/>
              </w:rPr>
              <w:t xml:space="preserve"> insurance and pension companies consisting 3</w:t>
            </w:r>
            <w:r w:rsidR="00011474" w:rsidRPr="00CF3FF2">
              <w:rPr>
                <w:rFonts w:ascii="Century" w:hAnsi="Century"/>
                <w:color w:val="404040"/>
              </w:rPr>
              <w:t>5</w:t>
            </w:r>
            <w:r w:rsidRPr="00CF3FF2">
              <w:rPr>
                <w:rFonts w:ascii="Century" w:hAnsi="Century"/>
                <w:color w:val="404040"/>
              </w:rPr>
              <w:t xml:space="preserve"> non-life, 2</w:t>
            </w:r>
            <w:r w:rsidR="00011474" w:rsidRPr="00CF3FF2">
              <w:rPr>
                <w:rFonts w:ascii="Century" w:hAnsi="Century"/>
                <w:color w:val="404040"/>
              </w:rPr>
              <w:t>4</w:t>
            </w:r>
            <w:r w:rsidR="00140F46" w:rsidRPr="00CF3FF2">
              <w:rPr>
                <w:rFonts w:ascii="Century" w:hAnsi="Century"/>
                <w:color w:val="404040"/>
              </w:rPr>
              <w:t xml:space="preserve"> life/pension companies</w:t>
            </w:r>
            <w:r w:rsidRPr="00CF3FF2">
              <w:rPr>
                <w:rFonts w:ascii="Century" w:hAnsi="Century"/>
                <w:color w:val="404040"/>
              </w:rPr>
              <w:t xml:space="preserve"> and </w:t>
            </w:r>
            <w:r w:rsidR="00011474" w:rsidRPr="00CF3FF2">
              <w:rPr>
                <w:rFonts w:ascii="Century" w:hAnsi="Century"/>
                <w:color w:val="404040"/>
              </w:rPr>
              <w:t>2</w:t>
            </w:r>
            <w:r w:rsidRPr="00CF3FF2">
              <w:rPr>
                <w:rFonts w:ascii="Century" w:hAnsi="Century"/>
                <w:color w:val="404040"/>
              </w:rPr>
              <w:t xml:space="preserve"> reinsurance company. With the inclusion of seven non</w:t>
            </w:r>
            <w:r w:rsidR="00C84926" w:rsidRPr="00CF3FF2">
              <w:rPr>
                <w:rFonts w:ascii="Century" w:hAnsi="Century"/>
                <w:color w:val="404040"/>
              </w:rPr>
              <w:t>-</w:t>
            </w:r>
            <w:r w:rsidRPr="00CF3FF2">
              <w:rPr>
                <w:rFonts w:ascii="Century" w:hAnsi="Century"/>
                <w:color w:val="404040"/>
              </w:rPr>
              <w:t xml:space="preserve">life insurance companies and one life insurance company either decommissioned within the </w:t>
            </w:r>
            <w:r w:rsidR="00473D03" w:rsidRPr="00CF3FF2">
              <w:rPr>
                <w:rFonts w:ascii="Century" w:hAnsi="Century"/>
                <w:color w:val="404040"/>
              </w:rPr>
              <w:t>public authority</w:t>
            </w:r>
            <w:r w:rsidRPr="00CF3FF2">
              <w:rPr>
                <w:rFonts w:ascii="Century" w:hAnsi="Century"/>
                <w:color w:val="404040"/>
              </w:rPr>
              <w:t xml:space="preserve"> or halted its operation by various causes, data for all companies are used in first and final chapters of second section entitled “Tables” of the Report. Data for 4</w:t>
            </w:r>
            <w:r w:rsidR="00011474" w:rsidRPr="00CF3FF2">
              <w:rPr>
                <w:rFonts w:ascii="Century" w:hAnsi="Century"/>
                <w:color w:val="404040"/>
              </w:rPr>
              <w:t>8</w:t>
            </w:r>
            <w:r w:rsidRPr="00CF3FF2">
              <w:rPr>
                <w:rFonts w:ascii="Century" w:hAnsi="Century"/>
                <w:color w:val="404040"/>
              </w:rPr>
              <w:t xml:space="preserve"> active insurance and pension companies has taken place in second, </w:t>
            </w:r>
            <w:r w:rsidR="006001BF" w:rsidRPr="00CF3FF2">
              <w:rPr>
                <w:rFonts w:ascii="Century" w:hAnsi="Century"/>
                <w:color w:val="404040"/>
              </w:rPr>
              <w:t xml:space="preserve">and </w:t>
            </w:r>
            <w:r w:rsidRPr="00CF3FF2">
              <w:rPr>
                <w:rFonts w:ascii="Century" w:hAnsi="Century"/>
                <w:color w:val="404040"/>
              </w:rPr>
              <w:t xml:space="preserve">third chapters of the section.  </w:t>
            </w:r>
          </w:p>
          <w:p w:rsidR="00AF54EB" w:rsidRPr="001D180C" w:rsidRDefault="00AF54EB" w:rsidP="009F2941">
            <w:pPr>
              <w:jc w:val="both"/>
              <w:rPr>
                <w:rFonts w:ascii="Century" w:hAnsi="Century"/>
                <w:color w:val="404040"/>
                <w:highlight w:val="yellow"/>
              </w:rPr>
            </w:pPr>
          </w:p>
          <w:p w:rsidR="00B3298E" w:rsidRPr="001D180C" w:rsidRDefault="00B3298E" w:rsidP="009F2941">
            <w:pPr>
              <w:jc w:val="both"/>
              <w:rPr>
                <w:rFonts w:ascii="Century" w:hAnsi="Century"/>
                <w:color w:val="404040"/>
                <w:highlight w:val="yellow"/>
              </w:rPr>
            </w:pPr>
          </w:p>
          <w:p w:rsidR="00B3298E" w:rsidRPr="001D180C" w:rsidRDefault="00B3298E" w:rsidP="00B3298E">
            <w:pPr>
              <w:jc w:val="both"/>
              <w:rPr>
                <w:rFonts w:ascii="Century" w:hAnsi="Century"/>
                <w:color w:val="404040"/>
              </w:rPr>
            </w:pPr>
          </w:p>
          <w:p w:rsidR="00B3298E" w:rsidRPr="001D180C" w:rsidRDefault="00B3298E" w:rsidP="00B3298E">
            <w:pPr>
              <w:jc w:val="both"/>
              <w:rPr>
                <w:rFonts w:ascii="Century" w:hAnsi="Century"/>
                <w:color w:val="404040"/>
              </w:rPr>
            </w:pPr>
          </w:p>
          <w:p w:rsidR="00430F18" w:rsidRPr="00CF3FF2" w:rsidRDefault="009F2941" w:rsidP="00B3298E">
            <w:pPr>
              <w:jc w:val="both"/>
              <w:rPr>
                <w:rFonts w:ascii="Century" w:hAnsi="Century"/>
                <w:color w:val="404040"/>
              </w:rPr>
            </w:pPr>
            <w:r w:rsidRPr="00CF3FF2">
              <w:rPr>
                <w:rFonts w:ascii="Century" w:hAnsi="Century"/>
                <w:color w:val="404040"/>
              </w:rPr>
              <w:t xml:space="preserve">In the fields of insurance and pension, </w:t>
            </w:r>
            <w:r w:rsidR="00F35D66" w:rsidRPr="00CF3FF2">
              <w:rPr>
                <w:rFonts w:ascii="Century" w:hAnsi="Century"/>
                <w:color w:val="404040"/>
              </w:rPr>
              <w:t xml:space="preserve">by the end of 2007, </w:t>
            </w:r>
            <w:r w:rsidR="005D5182" w:rsidRPr="00CF3FF2">
              <w:rPr>
                <w:rFonts w:ascii="Century" w:hAnsi="Century"/>
                <w:color w:val="404040"/>
              </w:rPr>
              <w:t>35 of 61</w:t>
            </w:r>
            <w:r w:rsidRPr="00CF3FF2">
              <w:rPr>
                <w:rFonts w:ascii="Century" w:hAnsi="Century"/>
                <w:color w:val="404040"/>
              </w:rPr>
              <w:t xml:space="preserve"> companies</w:t>
            </w:r>
            <w:r w:rsidR="00947EB4" w:rsidRPr="00CF3FF2">
              <w:rPr>
                <w:rFonts w:ascii="Century" w:hAnsi="Century"/>
                <w:color w:val="404040"/>
              </w:rPr>
              <w:t xml:space="preserve"> </w:t>
            </w:r>
            <w:r w:rsidRPr="00CF3FF2">
              <w:rPr>
                <w:rFonts w:ascii="Century" w:hAnsi="Century"/>
                <w:color w:val="404040"/>
              </w:rPr>
              <w:t>have foreign partners</w:t>
            </w:r>
            <w:r w:rsidR="00430F18" w:rsidRPr="00CF3FF2">
              <w:rPr>
                <w:rFonts w:ascii="Century" w:hAnsi="Century"/>
                <w:color w:val="404040"/>
              </w:rPr>
              <w:t xml:space="preserve"> </w:t>
            </w:r>
            <w:r w:rsidR="00F35D66" w:rsidRPr="00CF3FF2">
              <w:rPr>
                <w:rFonts w:ascii="Century" w:hAnsi="Century"/>
                <w:color w:val="404040"/>
              </w:rPr>
              <w:t>either direct or indirect</w:t>
            </w:r>
            <w:r w:rsidRPr="00CF3FF2">
              <w:rPr>
                <w:rFonts w:ascii="Century" w:hAnsi="Century"/>
                <w:color w:val="404040"/>
              </w:rPr>
              <w:t xml:space="preserve">. </w:t>
            </w:r>
            <w:r w:rsidR="00430F18" w:rsidRPr="00CF3FF2">
              <w:rPr>
                <w:rFonts w:ascii="Century" w:hAnsi="Century"/>
                <w:color w:val="404040"/>
              </w:rPr>
              <w:t xml:space="preserve">The share of </w:t>
            </w:r>
            <w:r w:rsidR="00C576B0">
              <w:rPr>
                <w:rFonts w:ascii="Century" w:hAnsi="Century"/>
                <w:color w:val="404040"/>
              </w:rPr>
              <w:t xml:space="preserve">foreign capital </w:t>
            </w:r>
            <w:r w:rsidR="005D5182" w:rsidRPr="00CF3FF2">
              <w:rPr>
                <w:rFonts w:ascii="Century" w:hAnsi="Century"/>
                <w:color w:val="404040"/>
              </w:rPr>
              <w:t>in total premium volume is 41</w:t>
            </w:r>
            <w:r w:rsidR="00430F18" w:rsidRPr="00CF3FF2">
              <w:rPr>
                <w:rFonts w:ascii="Century" w:hAnsi="Century"/>
                <w:color w:val="404040"/>
              </w:rPr>
              <w:t>%. 1</w:t>
            </w:r>
            <w:r w:rsidR="005D5182" w:rsidRPr="00CF3FF2">
              <w:rPr>
                <w:rFonts w:ascii="Century" w:hAnsi="Century"/>
                <w:color w:val="404040"/>
              </w:rPr>
              <w:t>9</w:t>
            </w:r>
            <w:r w:rsidR="00430F18" w:rsidRPr="00CF3FF2">
              <w:rPr>
                <w:rFonts w:ascii="Century" w:hAnsi="Century"/>
                <w:color w:val="404040"/>
              </w:rPr>
              <w:t xml:space="preserve"> </w:t>
            </w:r>
            <w:r w:rsidR="00F35D66" w:rsidRPr="00CF3FF2">
              <w:rPr>
                <w:rFonts w:ascii="Century" w:hAnsi="Century"/>
                <w:color w:val="404040"/>
              </w:rPr>
              <w:t xml:space="preserve">non-life </w:t>
            </w:r>
            <w:r w:rsidR="00430F18" w:rsidRPr="00CF3FF2">
              <w:rPr>
                <w:rFonts w:ascii="Century" w:hAnsi="Century"/>
                <w:color w:val="404040"/>
              </w:rPr>
              <w:t>companies with foreign partners</w:t>
            </w:r>
            <w:r w:rsidR="00F35D66" w:rsidRPr="00CF3FF2">
              <w:rPr>
                <w:rFonts w:ascii="Century" w:hAnsi="Century"/>
                <w:color w:val="404040"/>
              </w:rPr>
              <w:t xml:space="preserve">, the share of the </w:t>
            </w:r>
            <w:r w:rsidR="00430F18" w:rsidRPr="00CF3FF2">
              <w:rPr>
                <w:rFonts w:ascii="Century" w:hAnsi="Century"/>
                <w:color w:val="404040"/>
              </w:rPr>
              <w:t xml:space="preserve">premium volume is </w:t>
            </w:r>
            <w:r w:rsidR="005D5182" w:rsidRPr="00CF3FF2">
              <w:rPr>
                <w:rFonts w:ascii="Century" w:hAnsi="Century"/>
                <w:color w:val="404040"/>
              </w:rPr>
              <w:t>4</w:t>
            </w:r>
            <w:r w:rsidR="00430F18" w:rsidRPr="00CF3FF2">
              <w:rPr>
                <w:rFonts w:ascii="Century" w:hAnsi="Century"/>
                <w:color w:val="404040"/>
              </w:rPr>
              <w:t>1% and this rate for the 1</w:t>
            </w:r>
            <w:r w:rsidR="005D5182" w:rsidRPr="00CF3FF2">
              <w:rPr>
                <w:rFonts w:ascii="Century" w:hAnsi="Century"/>
                <w:color w:val="404040"/>
              </w:rPr>
              <w:t>6</w:t>
            </w:r>
            <w:r w:rsidR="00430F18" w:rsidRPr="00CF3FF2">
              <w:rPr>
                <w:rFonts w:ascii="Century" w:hAnsi="Century"/>
                <w:color w:val="404040"/>
              </w:rPr>
              <w:t xml:space="preserve"> life insur</w:t>
            </w:r>
            <w:r w:rsidR="005D5182" w:rsidRPr="00CF3FF2">
              <w:rPr>
                <w:rFonts w:ascii="Century" w:hAnsi="Century"/>
                <w:color w:val="404040"/>
              </w:rPr>
              <w:t>ance companies is 43</w:t>
            </w:r>
            <w:r w:rsidR="00430F18" w:rsidRPr="00CF3FF2">
              <w:rPr>
                <w:rFonts w:ascii="Century" w:hAnsi="Century"/>
                <w:color w:val="404040"/>
              </w:rPr>
              <w:t xml:space="preserve">%.  </w:t>
            </w:r>
          </w:p>
          <w:p w:rsidR="00430F18" w:rsidRPr="00CF3FF2" w:rsidRDefault="00430F18" w:rsidP="009F2941">
            <w:pPr>
              <w:jc w:val="both"/>
              <w:rPr>
                <w:rFonts w:ascii="Century" w:hAnsi="Century"/>
                <w:color w:val="404040"/>
              </w:rPr>
            </w:pPr>
          </w:p>
          <w:p w:rsidR="005D5182" w:rsidRPr="00CF3FF2" w:rsidRDefault="005D5182" w:rsidP="009F2941">
            <w:pPr>
              <w:jc w:val="both"/>
              <w:rPr>
                <w:rFonts w:ascii="Century" w:hAnsi="Century"/>
                <w:color w:val="404040"/>
              </w:rPr>
            </w:pPr>
          </w:p>
          <w:p w:rsidR="00674E6D" w:rsidRPr="00CF3FF2" w:rsidRDefault="00674E6D" w:rsidP="009F2941">
            <w:pPr>
              <w:jc w:val="both"/>
              <w:rPr>
                <w:rFonts w:ascii="Century" w:hAnsi="Century"/>
                <w:color w:val="404040"/>
              </w:rPr>
            </w:pPr>
          </w:p>
          <w:p w:rsidR="00674E6D" w:rsidRPr="00CF3FF2" w:rsidRDefault="00674E6D" w:rsidP="009F2941">
            <w:pPr>
              <w:jc w:val="both"/>
              <w:rPr>
                <w:rFonts w:ascii="Century" w:hAnsi="Century"/>
                <w:color w:val="404040"/>
              </w:rPr>
            </w:pPr>
          </w:p>
          <w:p w:rsidR="009F2941" w:rsidRPr="00CF3FF2" w:rsidRDefault="00430F18" w:rsidP="009F2941">
            <w:pPr>
              <w:jc w:val="both"/>
              <w:rPr>
                <w:rFonts w:ascii="Century" w:hAnsi="Century"/>
                <w:color w:val="404040"/>
              </w:rPr>
            </w:pPr>
            <w:r w:rsidRPr="00CF3FF2">
              <w:rPr>
                <w:rFonts w:ascii="Century" w:hAnsi="Century"/>
                <w:color w:val="404040"/>
              </w:rPr>
              <w:t>T</w:t>
            </w:r>
            <w:r w:rsidR="00EE3BBF" w:rsidRPr="00CF3FF2">
              <w:rPr>
                <w:rFonts w:ascii="Century" w:hAnsi="Century"/>
                <w:color w:val="404040"/>
              </w:rPr>
              <w:t>he share of foreign capital in paid capital is 2</w:t>
            </w:r>
            <w:r w:rsidR="005D5182" w:rsidRPr="00CF3FF2">
              <w:rPr>
                <w:rFonts w:ascii="Century" w:hAnsi="Century"/>
                <w:color w:val="404040"/>
              </w:rPr>
              <w:t>8</w:t>
            </w:r>
            <w:r w:rsidR="00EE3BBF" w:rsidRPr="00CF3FF2">
              <w:rPr>
                <w:rFonts w:ascii="Century" w:hAnsi="Century"/>
                <w:color w:val="404040"/>
              </w:rPr>
              <w:t>%</w:t>
            </w:r>
            <w:r w:rsidRPr="00CF3FF2">
              <w:rPr>
                <w:rFonts w:ascii="Century" w:hAnsi="Century"/>
                <w:color w:val="404040"/>
              </w:rPr>
              <w:t xml:space="preserve">. </w:t>
            </w:r>
            <w:r w:rsidR="009F2941" w:rsidRPr="00CF3FF2">
              <w:rPr>
                <w:rFonts w:ascii="Century" w:hAnsi="Century"/>
                <w:color w:val="404040"/>
              </w:rPr>
              <w:t xml:space="preserve">The share of foreign capital is </w:t>
            </w:r>
            <w:r w:rsidR="005D5182" w:rsidRPr="00CF3FF2">
              <w:rPr>
                <w:rFonts w:ascii="Century" w:hAnsi="Century"/>
                <w:color w:val="404040"/>
              </w:rPr>
              <w:t>37,69</w:t>
            </w:r>
            <w:r w:rsidR="009F2941" w:rsidRPr="00CF3FF2">
              <w:rPr>
                <w:rFonts w:ascii="Century" w:hAnsi="Century"/>
                <w:color w:val="404040"/>
              </w:rPr>
              <w:t>% and 3</w:t>
            </w:r>
            <w:r w:rsidR="005D5182" w:rsidRPr="00CF3FF2">
              <w:rPr>
                <w:rFonts w:ascii="Century" w:hAnsi="Century"/>
                <w:color w:val="404040"/>
              </w:rPr>
              <w:t>8,07</w:t>
            </w:r>
            <w:r w:rsidR="009F2941" w:rsidRPr="00CF3FF2">
              <w:rPr>
                <w:rFonts w:ascii="Century" w:hAnsi="Century"/>
                <w:color w:val="404040"/>
              </w:rPr>
              <w:t>% for non-life insurance and life/pension markets</w:t>
            </w:r>
            <w:r w:rsidR="00473D03" w:rsidRPr="00CF3FF2">
              <w:rPr>
                <w:rFonts w:ascii="Century" w:hAnsi="Century"/>
                <w:color w:val="404040"/>
              </w:rPr>
              <w:t>,</w:t>
            </w:r>
            <w:r w:rsidR="009F2941" w:rsidRPr="00CF3FF2">
              <w:rPr>
                <w:rFonts w:ascii="Century" w:hAnsi="Century"/>
                <w:color w:val="404040"/>
              </w:rPr>
              <w:t xml:space="preserve"> respectively. </w:t>
            </w:r>
          </w:p>
          <w:p w:rsidR="005D5182" w:rsidRPr="00CF3FF2" w:rsidRDefault="005D5182" w:rsidP="001461DA">
            <w:pPr>
              <w:jc w:val="both"/>
              <w:rPr>
                <w:rFonts w:ascii="Century" w:hAnsi="Century"/>
                <w:color w:val="404040"/>
                <w:highlight w:val="yellow"/>
              </w:rPr>
            </w:pPr>
          </w:p>
          <w:p w:rsidR="0014625B" w:rsidRDefault="0014625B" w:rsidP="001461DA">
            <w:pPr>
              <w:jc w:val="both"/>
              <w:rPr>
                <w:rFonts w:ascii="Century" w:hAnsi="Century"/>
                <w:color w:val="404040"/>
              </w:rPr>
            </w:pPr>
          </w:p>
          <w:p w:rsidR="007D2339" w:rsidRDefault="007D2339" w:rsidP="001461DA">
            <w:pPr>
              <w:jc w:val="both"/>
              <w:rPr>
                <w:rFonts w:ascii="Century" w:hAnsi="Century"/>
                <w:color w:val="404040"/>
              </w:rPr>
            </w:pPr>
          </w:p>
          <w:p w:rsidR="00947EB4" w:rsidRPr="00CF3FF2" w:rsidRDefault="001461DA" w:rsidP="001461DA">
            <w:pPr>
              <w:jc w:val="both"/>
              <w:rPr>
                <w:rFonts w:ascii="Century" w:hAnsi="Century"/>
                <w:color w:val="404040"/>
                <w:lang w:val="tr-TR"/>
              </w:rPr>
            </w:pPr>
            <w:r w:rsidRPr="00CF3FF2">
              <w:rPr>
                <w:rFonts w:ascii="Century" w:hAnsi="Century"/>
                <w:color w:val="404040"/>
              </w:rPr>
              <w:lastRenderedPageBreak/>
              <w:t xml:space="preserve">The high potential for insurability and the rapid improvement of insurance and pension sector pointed Turkish insurance market to foreign investors. Since insurability rate has reached saturation point in their countries, foreign investors tended to make investments in developing countries and briskness that started in 2006 continued to grow in </w:t>
            </w:r>
            <w:r w:rsidR="00674E6D" w:rsidRPr="00CF3FF2">
              <w:rPr>
                <w:rFonts w:ascii="Century" w:hAnsi="Century"/>
                <w:color w:val="404040"/>
              </w:rPr>
              <w:t xml:space="preserve">2007, and </w:t>
            </w:r>
            <w:r w:rsidRPr="00CF3FF2">
              <w:rPr>
                <w:rFonts w:ascii="Century" w:hAnsi="Century"/>
                <w:color w:val="404040"/>
              </w:rPr>
              <w:t>200</w:t>
            </w:r>
            <w:r w:rsidR="005D5182" w:rsidRPr="00CF3FF2">
              <w:rPr>
                <w:rFonts w:ascii="Century" w:hAnsi="Century"/>
                <w:color w:val="404040"/>
              </w:rPr>
              <w:t>8</w:t>
            </w:r>
            <w:r w:rsidRPr="00CF3FF2">
              <w:rPr>
                <w:rFonts w:ascii="Century" w:hAnsi="Century"/>
                <w:color w:val="404040"/>
              </w:rPr>
              <w:t>, too</w:t>
            </w:r>
            <w:r w:rsidR="00F75027" w:rsidRPr="00CF3FF2">
              <w:rPr>
                <w:rFonts w:ascii="Century" w:hAnsi="Century"/>
                <w:color w:val="404040"/>
              </w:rPr>
              <w:t>.</w:t>
            </w:r>
          </w:p>
          <w:p w:rsidR="00947EB4" w:rsidRPr="00CF3FF2" w:rsidRDefault="00947EB4" w:rsidP="00947EB4">
            <w:pPr>
              <w:rPr>
                <w:rFonts w:ascii="Century" w:hAnsi="Century"/>
                <w:color w:val="404040"/>
                <w:highlight w:val="yellow"/>
                <w:lang w:val="tr-TR"/>
              </w:rPr>
            </w:pPr>
          </w:p>
          <w:p w:rsidR="00CD6C40" w:rsidRPr="00367FA3" w:rsidRDefault="00CD6C40" w:rsidP="00947EB4">
            <w:pPr>
              <w:rPr>
                <w:rFonts w:ascii="Century" w:hAnsi="Century"/>
                <w:highlight w:val="yellow"/>
                <w:lang w:val="tr-TR"/>
              </w:rPr>
            </w:pPr>
          </w:p>
        </w:tc>
      </w:tr>
      <w:tr w:rsidR="004649B1" w:rsidRPr="00367FA3">
        <w:tc>
          <w:tcPr>
            <w:tcW w:w="9855" w:type="dxa"/>
            <w:gridSpan w:val="5"/>
          </w:tcPr>
          <w:p w:rsidR="004649B1" w:rsidRPr="006F552E" w:rsidRDefault="004649B1" w:rsidP="002D3D31">
            <w:pPr>
              <w:pStyle w:val="ResimYazs"/>
              <w:jc w:val="center"/>
              <w:rPr>
                <w:rFonts w:ascii="Century" w:hAnsi="Century"/>
                <w:b w:val="0"/>
                <w:i/>
                <w:lang w:val="tr-TR"/>
              </w:rPr>
            </w:pPr>
            <w:bookmarkStart w:id="23" w:name="_Toc170665526"/>
            <w:r w:rsidRPr="006F552E">
              <w:rPr>
                <w:rFonts w:ascii="Century" w:hAnsi="Century"/>
                <w:lang w:val="tr-TR"/>
              </w:rPr>
              <w:lastRenderedPageBreak/>
              <w:t xml:space="preserve">Tablo </w:t>
            </w:r>
            <w:r w:rsidRPr="006F552E">
              <w:rPr>
                <w:rFonts w:ascii="Century" w:hAnsi="Century"/>
                <w:lang w:val="tr-TR"/>
              </w:rPr>
              <w:fldChar w:fldCharType="begin"/>
            </w:r>
            <w:r w:rsidRPr="006F552E">
              <w:rPr>
                <w:rFonts w:ascii="Century" w:hAnsi="Century"/>
                <w:lang w:val="tr-TR"/>
              </w:rPr>
              <w:instrText xml:space="preserve"> STYLEREF 2 \s </w:instrText>
            </w:r>
            <w:r w:rsidRPr="006F552E">
              <w:rPr>
                <w:rFonts w:ascii="Century" w:hAnsi="Century"/>
                <w:lang w:val="tr-TR"/>
              </w:rPr>
              <w:fldChar w:fldCharType="separate"/>
            </w:r>
            <w:r w:rsidR="00DA718E">
              <w:rPr>
                <w:rFonts w:ascii="Century" w:hAnsi="Century"/>
                <w:noProof/>
                <w:lang w:val="tr-TR"/>
              </w:rPr>
              <w:t>1.3</w:t>
            </w:r>
            <w:r w:rsidRPr="006F552E">
              <w:rPr>
                <w:rFonts w:ascii="Century" w:hAnsi="Century"/>
                <w:lang w:val="tr-TR"/>
              </w:rPr>
              <w:fldChar w:fldCharType="end"/>
            </w:r>
            <w:r w:rsidRPr="006F552E">
              <w:rPr>
                <w:rFonts w:ascii="Century" w:hAnsi="Century"/>
                <w:lang w:val="tr-TR"/>
              </w:rPr>
              <w:noBreakHyphen/>
            </w:r>
            <w:r w:rsidRPr="006F552E">
              <w:rPr>
                <w:rFonts w:ascii="Century" w:hAnsi="Century"/>
                <w:lang w:val="tr-TR"/>
              </w:rPr>
              <w:fldChar w:fldCharType="begin"/>
            </w:r>
            <w:r w:rsidRPr="006F552E">
              <w:rPr>
                <w:rFonts w:ascii="Century" w:hAnsi="Century"/>
                <w:lang w:val="tr-TR"/>
              </w:rPr>
              <w:instrText xml:space="preserve"> SEQ Tablo \* ARABIC \s 2 </w:instrText>
            </w:r>
            <w:r w:rsidRPr="006F552E">
              <w:rPr>
                <w:rFonts w:ascii="Century" w:hAnsi="Century"/>
                <w:lang w:val="tr-TR"/>
              </w:rPr>
              <w:fldChar w:fldCharType="separate"/>
            </w:r>
            <w:r w:rsidR="00DA718E">
              <w:rPr>
                <w:rFonts w:ascii="Century" w:hAnsi="Century"/>
                <w:noProof/>
                <w:lang w:val="tr-TR"/>
              </w:rPr>
              <w:t>1</w:t>
            </w:r>
            <w:r w:rsidRPr="006F552E">
              <w:rPr>
                <w:rFonts w:ascii="Century" w:hAnsi="Century"/>
                <w:lang w:val="tr-TR"/>
              </w:rPr>
              <w:fldChar w:fldCharType="end"/>
            </w:r>
            <w:r w:rsidRPr="006F552E">
              <w:rPr>
                <w:rFonts w:ascii="Century" w:hAnsi="Century"/>
                <w:lang w:val="tr-TR"/>
              </w:rPr>
              <w:t>;</w:t>
            </w:r>
            <w:r w:rsidRPr="006F552E">
              <w:rPr>
                <w:rFonts w:ascii="Century" w:hAnsi="Century"/>
                <w:bCs w:val="0"/>
                <w:lang w:val="tr-TR"/>
              </w:rPr>
              <w:t xml:space="preserve">Sigorta-Emeklilik Şirk.Yapısal Göstergeleri – </w:t>
            </w:r>
            <w:r w:rsidRPr="006F552E">
              <w:rPr>
                <w:rFonts w:ascii="Century" w:hAnsi="Century"/>
                <w:b w:val="0"/>
                <w:bCs w:val="0"/>
                <w:i/>
                <w:lang w:val="tr-TR"/>
              </w:rPr>
              <w:t>General Indicators of Ins.- Priv. Pens.Comp.</w:t>
            </w:r>
            <w:bookmarkEnd w:id="23"/>
          </w:p>
          <w:p w:rsidR="00D96126" w:rsidRPr="00D11115" w:rsidRDefault="00D11115" w:rsidP="005962D9">
            <w:pPr>
              <w:jc w:val="both"/>
              <w:rPr>
                <w:rFonts w:ascii="Century" w:hAnsi="Century"/>
                <w:sz w:val="20"/>
                <w:szCs w:val="20"/>
                <w:lang w:val="tr-TR"/>
              </w:rPr>
            </w:pPr>
            <w:r w:rsidRPr="00D11115">
              <w:rPr>
                <w:rFonts w:ascii="Century" w:hAnsi="Century"/>
                <w:sz w:val="20"/>
                <w:szCs w:val="20"/>
                <w:lang w:val="tr-TR"/>
              </w:rPr>
              <w:pict>
                <v:shape id="_x0000_i1033" type="#_x0000_t75" style="width:481.5pt;height:300.75pt">
                  <v:imagedata r:id="rId23" o:title=""/>
                </v:shape>
              </w:pict>
            </w:r>
          </w:p>
        </w:tc>
      </w:tr>
      <w:tr w:rsidR="004649B1" w:rsidRPr="00367FA3">
        <w:tc>
          <w:tcPr>
            <w:tcW w:w="4815" w:type="dxa"/>
            <w:gridSpan w:val="2"/>
          </w:tcPr>
          <w:p w:rsidR="00174660" w:rsidRPr="00367FA3" w:rsidRDefault="00174660" w:rsidP="008D17FE">
            <w:pPr>
              <w:jc w:val="both"/>
              <w:rPr>
                <w:rFonts w:ascii="Century" w:hAnsi="Century"/>
                <w:highlight w:val="yellow"/>
                <w:lang w:val="tr-TR"/>
              </w:rPr>
            </w:pPr>
          </w:p>
          <w:p w:rsidR="004649B1" w:rsidRPr="00056A7F" w:rsidRDefault="00056A7F" w:rsidP="008D17FE">
            <w:pPr>
              <w:jc w:val="both"/>
              <w:rPr>
                <w:rFonts w:ascii="Century" w:hAnsi="Century"/>
                <w:lang w:val="tr-TR"/>
              </w:rPr>
            </w:pPr>
            <w:r w:rsidRPr="00056A7F">
              <w:rPr>
                <w:rFonts w:ascii="Century" w:hAnsi="Century"/>
                <w:lang w:val="tr-TR"/>
              </w:rPr>
              <w:t>2007</w:t>
            </w:r>
            <w:r w:rsidR="004649B1" w:rsidRPr="00056A7F">
              <w:rPr>
                <w:rFonts w:ascii="Century" w:hAnsi="Century"/>
                <w:lang w:val="tr-TR"/>
              </w:rPr>
              <w:t xml:space="preserve"> yıl sonu itibariyle sigorta</w:t>
            </w:r>
            <w:r w:rsidR="001F1D5C" w:rsidRPr="00056A7F">
              <w:rPr>
                <w:rFonts w:ascii="Century" w:hAnsi="Century"/>
                <w:lang w:val="tr-TR"/>
              </w:rPr>
              <w:t>cılık</w:t>
            </w:r>
            <w:r w:rsidR="004649B1" w:rsidRPr="00056A7F">
              <w:rPr>
                <w:rFonts w:ascii="Century" w:hAnsi="Century"/>
                <w:lang w:val="tr-TR"/>
              </w:rPr>
              <w:t xml:space="preserve"> ve bireysel emeklilik sektöründe, banka şubeleri hariç </w:t>
            </w:r>
            <w:r w:rsidR="001F1D5C" w:rsidRPr="00056A7F">
              <w:rPr>
                <w:rFonts w:ascii="Century" w:hAnsi="Century"/>
                <w:lang w:val="tr-TR"/>
              </w:rPr>
              <w:t>toplam</w:t>
            </w:r>
            <w:r w:rsidR="00174660" w:rsidRPr="00056A7F">
              <w:rPr>
                <w:rFonts w:ascii="Century" w:hAnsi="Century"/>
                <w:lang w:val="tr-TR"/>
              </w:rPr>
              <w:t xml:space="preserve"> 1</w:t>
            </w:r>
            <w:r w:rsidRPr="00056A7F">
              <w:rPr>
                <w:rFonts w:ascii="Century" w:hAnsi="Century"/>
                <w:lang w:val="tr-TR"/>
              </w:rPr>
              <w:t>6.011</w:t>
            </w:r>
            <w:r w:rsidR="00174660" w:rsidRPr="00056A7F">
              <w:rPr>
                <w:rFonts w:ascii="Century" w:hAnsi="Century"/>
                <w:lang w:val="tr-TR"/>
              </w:rPr>
              <w:t xml:space="preserve"> acente, </w:t>
            </w:r>
            <w:r w:rsidRPr="00056A7F">
              <w:rPr>
                <w:rFonts w:ascii="Century" w:hAnsi="Century"/>
                <w:lang w:val="tr-TR"/>
              </w:rPr>
              <w:t>64</w:t>
            </w:r>
            <w:r w:rsidR="00174660" w:rsidRPr="00056A7F">
              <w:rPr>
                <w:rFonts w:ascii="Century" w:hAnsi="Century"/>
                <w:lang w:val="tr-TR"/>
              </w:rPr>
              <w:t xml:space="preserve">  broker ve </w:t>
            </w:r>
            <w:r w:rsidRPr="00056A7F">
              <w:rPr>
                <w:rFonts w:ascii="Century" w:hAnsi="Century"/>
                <w:lang w:val="tr-TR"/>
              </w:rPr>
              <w:t>TOBB nezdinde tutulan levhaya kayıtlı 963</w:t>
            </w:r>
            <w:r w:rsidR="00333614">
              <w:rPr>
                <w:rFonts w:ascii="Century" w:hAnsi="Century"/>
                <w:lang w:val="tr-TR"/>
              </w:rPr>
              <w:t xml:space="preserve"> gerçek kişi</w:t>
            </w:r>
            <w:r w:rsidR="004649B1" w:rsidRPr="00056A7F">
              <w:rPr>
                <w:rFonts w:ascii="Century" w:hAnsi="Century"/>
                <w:lang w:val="tr-TR"/>
              </w:rPr>
              <w:t xml:space="preserve"> eksper faaliyette bulunmaktadır.</w:t>
            </w:r>
            <w:r w:rsidR="00333614">
              <w:rPr>
                <w:rFonts w:ascii="Century" w:hAnsi="Century" w:cs="Arial"/>
                <w:lang w:val="tr-TR" w:eastAsia="tr-TR"/>
              </w:rPr>
              <w:t xml:space="preserve"> Şirketlerde çalışan </w:t>
            </w:r>
            <w:r w:rsidR="004649B1" w:rsidRPr="00056A7F">
              <w:rPr>
                <w:rFonts w:ascii="Century" w:hAnsi="Century"/>
                <w:lang w:val="tr-TR"/>
              </w:rPr>
              <w:t>1</w:t>
            </w:r>
            <w:r w:rsidRPr="00056A7F">
              <w:rPr>
                <w:rFonts w:ascii="Century" w:hAnsi="Century"/>
                <w:lang w:val="tr-TR"/>
              </w:rPr>
              <w:t>5.138</w:t>
            </w:r>
            <w:r w:rsidR="004649B1" w:rsidRPr="00056A7F">
              <w:rPr>
                <w:rFonts w:ascii="Century" w:hAnsi="Century"/>
                <w:lang w:val="tr-TR"/>
              </w:rPr>
              <w:t xml:space="preserve"> personel</w:t>
            </w:r>
            <w:r w:rsidR="00174660" w:rsidRPr="00056A7F">
              <w:rPr>
                <w:rFonts w:ascii="Century" w:hAnsi="Century"/>
                <w:lang w:val="tr-TR"/>
              </w:rPr>
              <w:t xml:space="preserve">le birlikte </w:t>
            </w:r>
            <w:r w:rsidR="004649B1" w:rsidRPr="00056A7F">
              <w:rPr>
                <w:rFonts w:ascii="Century" w:hAnsi="Century"/>
                <w:lang w:val="tr-TR"/>
              </w:rPr>
              <w:t>ace</w:t>
            </w:r>
            <w:r w:rsidR="001F1D5C" w:rsidRPr="00056A7F">
              <w:rPr>
                <w:rFonts w:ascii="Century" w:hAnsi="Century"/>
                <w:lang w:val="tr-TR"/>
              </w:rPr>
              <w:t xml:space="preserve">nte, broker ve eksper olarak </w:t>
            </w:r>
            <w:r w:rsidR="004649B1" w:rsidRPr="00056A7F">
              <w:rPr>
                <w:rFonts w:ascii="Century" w:hAnsi="Century"/>
                <w:lang w:val="tr-TR"/>
              </w:rPr>
              <w:t>çalışanlar</w:t>
            </w:r>
            <w:r w:rsidR="001F1D5C" w:rsidRPr="00056A7F">
              <w:rPr>
                <w:rFonts w:ascii="Century" w:hAnsi="Century"/>
                <w:lang w:val="tr-TR"/>
              </w:rPr>
              <w:t xml:space="preserve"> da</w:t>
            </w:r>
            <w:r w:rsidR="004649B1" w:rsidRPr="00056A7F">
              <w:rPr>
                <w:rFonts w:ascii="Century" w:hAnsi="Century"/>
                <w:lang w:val="tr-TR"/>
              </w:rPr>
              <w:t xml:space="preserve"> dikkate alındığında</w:t>
            </w:r>
            <w:r w:rsidR="00333614">
              <w:rPr>
                <w:rFonts w:ascii="Century" w:hAnsi="Century"/>
                <w:lang w:val="tr-TR"/>
              </w:rPr>
              <w:t xml:space="preserve"> sigorta sektörü</w:t>
            </w:r>
            <w:r w:rsidR="004649B1" w:rsidRPr="00056A7F">
              <w:rPr>
                <w:rFonts w:ascii="Century" w:hAnsi="Century"/>
                <w:lang w:val="tr-TR"/>
              </w:rPr>
              <w:t xml:space="preserve"> 50 binin üzerinde</w:t>
            </w:r>
            <w:r w:rsidR="00F75027" w:rsidRPr="00056A7F">
              <w:rPr>
                <w:rFonts w:ascii="Century" w:hAnsi="Century"/>
                <w:lang w:val="tr-TR"/>
              </w:rPr>
              <w:t xml:space="preserve"> kişiye istihdam sağlamaktadır. </w:t>
            </w:r>
          </w:p>
          <w:p w:rsidR="00B3298E" w:rsidRPr="00056A7F" w:rsidRDefault="00B3298E" w:rsidP="008D17FE">
            <w:pPr>
              <w:jc w:val="both"/>
              <w:rPr>
                <w:rFonts w:ascii="Century" w:hAnsi="Century"/>
                <w:sz w:val="18"/>
                <w:szCs w:val="18"/>
                <w:lang w:val="tr-TR"/>
              </w:rPr>
            </w:pPr>
          </w:p>
          <w:p w:rsidR="004649B1" w:rsidRPr="003E6AE5" w:rsidRDefault="004649B1" w:rsidP="008D17FE">
            <w:pPr>
              <w:jc w:val="both"/>
              <w:rPr>
                <w:rFonts w:ascii="Century" w:hAnsi="Century"/>
                <w:lang w:val="tr-TR"/>
              </w:rPr>
            </w:pPr>
            <w:r w:rsidRPr="003E6AE5">
              <w:rPr>
                <w:rFonts w:ascii="Century" w:hAnsi="Century"/>
                <w:lang w:val="tr-TR"/>
              </w:rPr>
              <w:lastRenderedPageBreak/>
              <w:t xml:space="preserve">Hayat dışı şirketler ürettikleri poliçe ve çalıştıkları acente sayısı açısından hayat/emeklilik şirketlerine göre </w:t>
            </w:r>
            <w:r w:rsidR="001F1D5C" w:rsidRPr="003E6AE5">
              <w:rPr>
                <w:rFonts w:ascii="Century" w:hAnsi="Century"/>
                <w:lang w:val="tr-TR"/>
              </w:rPr>
              <w:t>önde olmalarına rağmen</w:t>
            </w:r>
            <w:r w:rsidRPr="003E6AE5">
              <w:rPr>
                <w:rFonts w:ascii="Century" w:hAnsi="Century"/>
                <w:lang w:val="tr-TR"/>
              </w:rPr>
              <w:t xml:space="preserve">, istihdam ettikleri personel </w:t>
            </w:r>
            <w:r w:rsidR="001F1D5C" w:rsidRPr="003E6AE5">
              <w:rPr>
                <w:rFonts w:ascii="Century" w:hAnsi="Century"/>
                <w:lang w:val="tr-TR"/>
              </w:rPr>
              <w:t xml:space="preserve">sayısı </w:t>
            </w:r>
            <w:r w:rsidRPr="003E6AE5">
              <w:rPr>
                <w:rFonts w:ascii="Century" w:hAnsi="Century"/>
                <w:lang w:val="tr-TR"/>
              </w:rPr>
              <w:t xml:space="preserve">itibariyle </w:t>
            </w:r>
            <w:r w:rsidR="001F1D5C" w:rsidRPr="003E6AE5">
              <w:rPr>
                <w:rFonts w:ascii="Century" w:hAnsi="Century"/>
                <w:lang w:val="tr-TR"/>
              </w:rPr>
              <w:t xml:space="preserve">her iki grup </w:t>
            </w:r>
            <w:r w:rsidRPr="003E6AE5">
              <w:rPr>
                <w:rFonts w:ascii="Century" w:hAnsi="Century"/>
                <w:lang w:val="tr-TR"/>
              </w:rPr>
              <w:t xml:space="preserve">yaklaşık olarak eşit düzeydedirler. </w:t>
            </w:r>
            <w:r w:rsidR="001F1D5C" w:rsidRPr="003E6AE5">
              <w:rPr>
                <w:rFonts w:ascii="Century" w:hAnsi="Century"/>
                <w:lang w:val="tr-TR"/>
              </w:rPr>
              <w:t>Bu durum, hayat/emeklilik şirketlerinde ç</w:t>
            </w:r>
            <w:r w:rsidR="003444DF" w:rsidRPr="003E6AE5">
              <w:rPr>
                <w:rFonts w:ascii="Century" w:hAnsi="Century"/>
                <w:lang w:val="tr-TR"/>
              </w:rPr>
              <w:t>ok sayıda pazarlama elema</w:t>
            </w:r>
            <w:r w:rsidR="001F1D5C" w:rsidRPr="003E6AE5">
              <w:rPr>
                <w:rFonts w:ascii="Century" w:hAnsi="Century"/>
                <w:lang w:val="tr-TR"/>
              </w:rPr>
              <w:t>nı istihdam edilmesinden kaynaklanmaktadır.</w:t>
            </w:r>
          </w:p>
          <w:p w:rsidR="00EE3BBF" w:rsidRPr="003E6AE5" w:rsidRDefault="00EE3BBF" w:rsidP="008D17FE">
            <w:pPr>
              <w:jc w:val="both"/>
              <w:rPr>
                <w:rFonts w:ascii="Century" w:hAnsi="Century"/>
                <w:lang w:val="tr-TR"/>
              </w:rPr>
            </w:pPr>
          </w:p>
          <w:p w:rsidR="00E54B0C" w:rsidRPr="003E6AE5" w:rsidRDefault="00E54B0C" w:rsidP="00E54B0C">
            <w:pPr>
              <w:jc w:val="both"/>
              <w:rPr>
                <w:rFonts w:ascii="Century" w:hAnsi="Century"/>
                <w:lang w:val="tr-TR"/>
              </w:rPr>
            </w:pPr>
            <w:r w:rsidRPr="003E6AE5">
              <w:rPr>
                <w:rFonts w:ascii="Century" w:hAnsi="Century"/>
                <w:lang w:val="tr-TR"/>
              </w:rPr>
              <w:t xml:space="preserve">Türkiye’de hayat dışı </w:t>
            </w:r>
            <w:r w:rsidR="00D96126" w:rsidRPr="003E6AE5">
              <w:rPr>
                <w:rFonts w:ascii="Century" w:hAnsi="Century"/>
                <w:lang w:val="tr-TR"/>
              </w:rPr>
              <w:t>branşlar poliçe sayısı</w:t>
            </w:r>
            <w:r w:rsidRPr="003E6AE5">
              <w:rPr>
                <w:rFonts w:ascii="Century" w:hAnsi="Century"/>
                <w:lang w:val="tr-TR"/>
              </w:rPr>
              <w:t xml:space="preserve"> </w:t>
            </w:r>
            <w:r w:rsidR="00D96126" w:rsidRPr="003E6AE5">
              <w:rPr>
                <w:rFonts w:ascii="Century" w:hAnsi="Century"/>
                <w:lang w:val="tr-TR"/>
              </w:rPr>
              <w:t>y</w:t>
            </w:r>
            <w:r w:rsidRPr="003E6AE5">
              <w:rPr>
                <w:rFonts w:ascii="Century" w:hAnsi="Century"/>
                <w:lang w:val="tr-TR"/>
              </w:rPr>
              <w:t>ıllar itibariyle düzenli bir artış göstermekte</w:t>
            </w:r>
            <w:r w:rsidR="00174660" w:rsidRPr="003E6AE5">
              <w:rPr>
                <w:rFonts w:ascii="Century" w:hAnsi="Century"/>
                <w:lang w:val="tr-TR"/>
              </w:rPr>
              <w:t xml:space="preserve"> iken</w:t>
            </w:r>
            <w:r w:rsidRPr="003E6AE5">
              <w:rPr>
                <w:rFonts w:ascii="Century" w:hAnsi="Century"/>
                <w:lang w:val="tr-TR"/>
              </w:rPr>
              <w:t xml:space="preserve">, hayat </w:t>
            </w:r>
            <w:r w:rsidR="00D96126" w:rsidRPr="003E6AE5">
              <w:rPr>
                <w:rFonts w:ascii="Century" w:hAnsi="Century"/>
                <w:lang w:val="tr-TR"/>
              </w:rPr>
              <w:t xml:space="preserve">branşı </w:t>
            </w:r>
            <w:r w:rsidRPr="003E6AE5">
              <w:rPr>
                <w:rFonts w:ascii="Century" w:hAnsi="Century"/>
                <w:lang w:val="tr-TR"/>
              </w:rPr>
              <w:t xml:space="preserve">poliçe sayısı </w:t>
            </w:r>
            <w:r w:rsidR="00174660" w:rsidRPr="003E6AE5">
              <w:rPr>
                <w:rFonts w:ascii="Century" w:hAnsi="Century"/>
                <w:lang w:val="tr-TR"/>
              </w:rPr>
              <w:t xml:space="preserve">son yıllarda </w:t>
            </w:r>
            <w:r w:rsidR="00D96126" w:rsidRPr="003E6AE5">
              <w:rPr>
                <w:rFonts w:ascii="Century" w:hAnsi="Century"/>
                <w:lang w:val="tr-TR"/>
              </w:rPr>
              <w:t>dalgalı bir seyir izlemektedir.</w:t>
            </w:r>
            <w:r w:rsidRPr="003E6AE5">
              <w:rPr>
                <w:rFonts w:ascii="Century" w:hAnsi="Century"/>
                <w:lang w:val="tr-TR"/>
              </w:rPr>
              <w:t xml:space="preserve"> Bu durum, birey</w:t>
            </w:r>
            <w:r w:rsidR="007B7AD9" w:rsidRPr="003E6AE5">
              <w:rPr>
                <w:rFonts w:ascii="Century" w:hAnsi="Century"/>
                <w:lang w:val="tr-TR"/>
              </w:rPr>
              <w:t xml:space="preserve">sel emeklilik sisteminin 2003 yılında uygulamaya başlaması ile </w:t>
            </w:r>
            <w:r w:rsidRPr="003E6AE5">
              <w:rPr>
                <w:rFonts w:ascii="Century" w:hAnsi="Century"/>
                <w:lang w:val="tr-TR"/>
              </w:rPr>
              <w:t>hayat sigortası</w:t>
            </w:r>
            <w:r w:rsidR="00D96126" w:rsidRPr="003E6AE5">
              <w:rPr>
                <w:rFonts w:ascii="Century" w:hAnsi="Century"/>
                <w:lang w:val="tr-TR"/>
              </w:rPr>
              <w:t xml:space="preserve">nın yanı sıra bireysel </w:t>
            </w:r>
            <w:r w:rsidRPr="003E6AE5">
              <w:rPr>
                <w:rFonts w:ascii="Century" w:hAnsi="Century"/>
                <w:lang w:val="tr-TR"/>
              </w:rPr>
              <w:t>emeklilik sistemin</w:t>
            </w:r>
            <w:r w:rsidR="00D96126" w:rsidRPr="003E6AE5">
              <w:rPr>
                <w:rFonts w:ascii="Century" w:hAnsi="Century"/>
                <w:lang w:val="tr-TR"/>
              </w:rPr>
              <w:t>in de</w:t>
            </w:r>
            <w:r w:rsidRPr="003E6AE5">
              <w:rPr>
                <w:rFonts w:ascii="Century" w:hAnsi="Century"/>
                <w:lang w:val="tr-TR"/>
              </w:rPr>
              <w:t xml:space="preserve"> tercih e</w:t>
            </w:r>
            <w:r w:rsidR="00D96126" w:rsidRPr="003E6AE5">
              <w:rPr>
                <w:rFonts w:ascii="Century" w:hAnsi="Century"/>
                <w:lang w:val="tr-TR"/>
              </w:rPr>
              <w:t>dilmesi</w:t>
            </w:r>
            <w:r w:rsidRPr="003E6AE5">
              <w:rPr>
                <w:rFonts w:ascii="Century" w:hAnsi="Century"/>
                <w:lang w:val="tr-TR"/>
              </w:rPr>
              <w:t xml:space="preserve"> ve mevcut hayat sigortalılarından bir kısmının da portföylerini emeklilik sistemine devretme</w:t>
            </w:r>
            <w:r w:rsidR="00D96126" w:rsidRPr="003E6AE5">
              <w:rPr>
                <w:rFonts w:ascii="Century" w:hAnsi="Century"/>
                <w:lang w:val="tr-TR"/>
              </w:rPr>
              <w:t>lerinden</w:t>
            </w:r>
            <w:r w:rsidRPr="003E6AE5">
              <w:rPr>
                <w:rFonts w:ascii="Century" w:hAnsi="Century"/>
                <w:lang w:val="tr-TR"/>
              </w:rPr>
              <w:t xml:space="preserve"> kaynaklanm</w:t>
            </w:r>
            <w:r w:rsidR="00FE29C7" w:rsidRPr="003E6AE5">
              <w:rPr>
                <w:rFonts w:ascii="Century" w:hAnsi="Century"/>
                <w:lang w:val="tr-TR"/>
              </w:rPr>
              <w:t>ıştır.</w:t>
            </w:r>
            <w:r w:rsidR="009200BF" w:rsidRPr="003E6AE5">
              <w:rPr>
                <w:rFonts w:ascii="Century" w:hAnsi="Century"/>
                <w:lang w:val="tr-TR"/>
              </w:rPr>
              <w:t xml:space="preserve"> Ancak, 2007 yılında hayat dalı poliçe sayısı tekrar artmaya başlamıştır.  </w:t>
            </w:r>
          </w:p>
          <w:p w:rsidR="00E54B0C" w:rsidRPr="003E6AE5" w:rsidRDefault="00E54B0C" w:rsidP="00E54B0C">
            <w:pPr>
              <w:jc w:val="both"/>
              <w:rPr>
                <w:rFonts w:ascii="Century" w:hAnsi="Century"/>
                <w:lang w:val="tr-TR"/>
              </w:rPr>
            </w:pPr>
          </w:p>
          <w:p w:rsidR="003E6AE5" w:rsidRPr="003E6AE5" w:rsidRDefault="003E6AE5" w:rsidP="00E54B0C">
            <w:pPr>
              <w:jc w:val="both"/>
              <w:rPr>
                <w:rFonts w:ascii="Century" w:hAnsi="Century"/>
                <w:lang w:val="tr-TR"/>
              </w:rPr>
            </w:pPr>
          </w:p>
          <w:p w:rsidR="00994F98" w:rsidRPr="003E6AE5" w:rsidRDefault="00D96126" w:rsidP="00E54B0C">
            <w:pPr>
              <w:jc w:val="both"/>
              <w:rPr>
                <w:rFonts w:ascii="Century" w:hAnsi="Century"/>
                <w:lang w:val="tr-TR"/>
              </w:rPr>
            </w:pPr>
            <w:r w:rsidRPr="003E6AE5">
              <w:rPr>
                <w:rFonts w:ascii="Century" w:hAnsi="Century"/>
                <w:lang w:val="tr-TR"/>
              </w:rPr>
              <w:t>2007 yılında hayat dışı branşlar poliçe sayıs</w:t>
            </w:r>
            <w:r w:rsidR="00A53444" w:rsidRPr="003E6AE5">
              <w:rPr>
                <w:rFonts w:ascii="Century" w:hAnsi="Century"/>
                <w:lang w:val="tr-TR"/>
              </w:rPr>
              <w:t>ı</w:t>
            </w:r>
            <w:r w:rsidRPr="003E6AE5">
              <w:rPr>
                <w:rFonts w:ascii="Century" w:hAnsi="Century"/>
                <w:lang w:val="tr-TR"/>
              </w:rPr>
              <w:t xml:space="preserve"> % 3 </w:t>
            </w:r>
            <w:r w:rsidR="00A53444" w:rsidRPr="003E6AE5">
              <w:rPr>
                <w:rFonts w:ascii="Century" w:hAnsi="Century"/>
                <w:lang w:val="tr-TR"/>
              </w:rPr>
              <w:t xml:space="preserve">oranında artmış iken, hayat branşı poliçe sayısında %17 oranında artış olmuştur. </w:t>
            </w:r>
            <w:r w:rsidR="008248C1" w:rsidRPr="003E6AE5">
              <w:rPr>
                <w:rFonts w:ascii="Century" w:hAnsi="Century"/>
                <w:lang w:val="tr-TR"/>
              </w:rPr>
              <w:t>B</w:t>
            </w:r>
            <w:r w:rsidR="00E54B0C" w:rsidRPr="003E6AE5">
              <w:rPr>
                <w:rFonts w:ascii="Century" w:hAnsi="Century"/>
                <w:lang w:val="tr-TR"/>
              </w:rPr>
              <w:t xml:space="preserve">ireysel emeklilik sistemindeki sözleşme sayısı </w:t>
            </w:r>
            <w:r w:rsidR="008248C1" w:rsidRPr="003E6AE5">
              <w:rPr>
                <w:rFonts w:ascii="Century" w:hAnsi="Century"/>
                <w:lang w:val="tr-TR"/>
              </w:rPr>
              <w:t xml:space="preserve">ise </w:t>
            </w:r>
            <w:r w:rsidR="00A47F1C" w:rsidRPr="003E6AE5">
              <w:rPr>
                <w:rFonts w:ascii="Century" w:hAnsi="Century"/>
                <w:lang w:val="tr-TR"/>
              </w:rPr>
              <w:t>2007</w:t>
            </w:r>
            <w:r w:rsidR="00E54B0C" w:rsidRPr="003E6AE5">
              <w:rPr>
                <w:rFonts w:ascii="Century" w:hAnsi="Century"/>
                <w:lang w:val="tr-TR"/>
              </w:rPr>
              <w:t xml:space="preserve"> yılında %</w:t>
            </w:r>
            <w:r w:rsidR="00A47F1C" w:rsidRPr="003E6AE5">
              <w:rPr>
                <w:rFonts w:ascii="Century" w:hAnsi="Century"/>
                <w:lang w:val="tr-TR"/>
              </w:rPr>
              <w:t xml:space="preserve"> 32</w:t>
            </w:r>
            <w:r w:rsidR="00E54B0C" w:rsidRPr="003E6AE5">
              <w:rPr>
                <w:rFonts w:ascii="Century" w:hAnsi="Century"/>
                <w:lang w:val="tr-TR"/>
              </w:rPr>
              <w:t xml:space="preserve"> oranında artmıştır.  </w:t>
            </w:r>
          </w:p>
          <w:p w:rsidR="00002C33" w:rsidRPr="003E6AE5" w:rsidRDefault="00002C33" w:rsidP="00E54B0C">
            <w:pPr>
              <w:jc w:val="both"/>
              <w:rPr>
                <w:rFonts w:ascii="Century" w:hAnsi="Century"/>
                <w:lang w:val="tr-TR"/>
              </w:rPr>
            </w:pPr>
          </w:p>
          <w:p w:rsidR="003E6AE5" w:rsidRPr="003E6AE5" w:rsidRDefault="003E6AE5" w:rsidP="00E54B0C">
            <w:pPr>
              <w:jc w:val="both"/>
              <w:rPr>
                <w:rFonts w:ascii="Century" w:hAnsi="Century"/>
                <w:lang w:val="tr-TR"/>
              </w:rPr>
            </w:pPr>
          </w:p>
          <w:p w:rsidR="00002C33" w:rsidRPr="00367FA3" w:rsidRDefault="00002C33" w:rsidP="00A47F1C">
            <w:pPr>
              <w:jc w:val="both"/>
              <w:rPr>
                <w:rFonts w:ascii="Century" w:hAnsi="Century"/>
                <w:highlight w:val="yellow"/>
                <w:lang w:val="tr-TR"/>
              </w:rPr>
            </w:pPr>
            <w:r w:rsidRPr="003E6AE5">
              <w:rPr>
                <w:rFonts w:ascii="Century" w:hAnsi="Century"/>
                <w:lang w:val="tr-TR"/>
              </w:rPr>
              <w:t xml:space="preserve">Hayat ve hayat dışı sigortacılık alanında  </w:t>
            </w:r>
            <w:r w:rsidR="00F03086" w:rsidRPr="003E6AE5">
              <w:rPr>
                <w:rFonts w:ascii="Century" w:hAnsi="Century"/>
                <w:lang w:val="tr-TR"/>
              </w:rPr>
              <w:t xml:space="preserve">aktif olarak </w:t>
            </w:r>
            <w:r w:rsidRPr="003E6AE5">
              <w:rPr>
                <w:rFonts w:ascii="Century" w:hAnsi="Century"/>
                <w:lang w:val="tr-TR"/>
              </w:rPr>
              <w:t xml:space="preserve">faaliyet gösteren </w:t>
            </w:r>
            <w:r w:rsidR="000D6AB7" w:rsidRPr="003E6AE5">
              <w:rPr>
                <w:rFonts w:ascii="Century" w:hAnsi="Century"/>
                <w:lang w:val="tr-TR"/>
              </w:rPr>
              <w:t>tüm şirket</w:t>
            </w:r>
            <w:r w:rsidR="00F03086" w:rsidRPr="003E6AE5">
              <w:rPr>
                <w:rFonts w:ascii="Century" w:hAnsi="Century"/>
                <w:lang w:val="tr-TR"/>
              </w:rPr>
              <w:t>-ler ölçek</w:t>
            </w:r>
            <w:r w:rsidRPr="003E6AE5">
              <w:rPr>
                <w:rFonts w:ascii="Century" w:hAnsi="Century"/>
                <w:lang w:val="tr-TR"/>
              </w:rPr>
              <w:t xml:space="preserve"> büyüklüklerine göre sınıflandı</w:t>
            </w:r>
            <w:r w:rsidR="00F03086" w:rsidRPr="003E6AE5">
              <w:rPr>
                <w:rFonts w:ascii="Century" w:hAnsi="Century"/>
                <w:lang w:val="tr-TR"/>
              </w:rPr>
              <w:t>-</w:t>
            </w:r>
            <w:r w:rsidRPr="003E6AE5">
              <w:rPr>
                <w:rFonts w:ascii="Century" w:hAnsi="Century"/>
                <w:lang w:val="tr-TR"/>
              </w:rPr>
              <w:t>rıldığında, küçük ölçekl</w:t>
            </w:r>
            <w:r w:rsidR="00F03086" w:rsidRPr="003E6AE5">
              <w:rPr>
                <w:rFonts w:ascii="Century" w:hAnsi="Century"/>
                <w:lang w:val="tr-TR"/>
              </w:rPr>
              <w:t xml:space="preserve">i şirketlerin daha fazla olduğu </w:t>
            </w:r>
            <w:r w:rsidRPr="003E6AE5">
              <w:rPr>
                <w:rFonts w:ascii="Century" w:hAnsi="Century"/>
                <w:lang w:val="tr-TR"/>
              </w:rPr>
              <w:t>görülmektedir.</w:t>
            </w:r>
            <w:r w:rsidR="00F03086" w:rsidRPr="003E6AE5">
              <w:rPr>
                <w:rFonts w:ascii="Century" w:hAnsi="Century"/>
                <w:lang w:val="tr-TR"/>
              </w:rPr>
              <w:t xml:space="preserve"> Ölçek büyüklüğünün belirlenmesinde </w:t>
            </w:r>
            <w:r w:rsidR="00A47F1C" w:rsidRPr="003E6AE5">
              <w:rPr>
                <w:rFonts w:ascii="Century" w:hAnsi="Century"/>
                <w:lang w:val="tr-TR"/>
              </w:rPr>
              <w:t>varlık toplamları</w:t>
            </w:r>
            <w:r w:rsidR="00F03086" w:rsidRPr="003E6AE5">
              <w:rPr>
                <w:rFonts w:ascii="Century" w:hAnsi="Century"/>
                <w:lang w:val="tr-TR"/>
              </w:rPr>
              <w:t xml:space="preserve"> esas alınmış, ancak bireysel emeklilik faaliyetlerinin aktif büyük-lüğüne etkisi hariç tutulmuştur.</w:t>
            </w:r>
            <w:r w:rsidRPr="00A47F1C">
              <w:rPr>
                <w:rFonts w:ascii="Century" w:hAnsi="Century"/>
                <w:lang w:val="tr-TR"/>
              </w:rPr>
              <w:t xml:space="preserve">   </w:t>
            </w: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174660" w:rsidRPr="00C43A16" w:rsidRDefault="00174660" w:rsidP="000B012E">
            <w:pPr>
              <w:jc w:val="both"/>
              <w:rPr>
                <w:rFonts w:ascii="Century" w:hAnsi="Century"/>
                <w:color w:val="595959"/>
                <w:highlight w:val="yellow"/>
                <w:lang w:val="tr-TR"/>
              </w:rPr>
            </w:pPr>
          </w:p>
          <w:p w:rsidR="000B012E" w:rsidRPr="00CF3FF2" w:rsidRDefault="000B012E" w:rsidP="000B012E">
            <w:pPr>
              <w:jc w:val="both"/>
              <w:rPr>
                <w:rFonts w:ascii="Century" w:hAnsi="Century"/>
                <w:color w:val="404040"/>
              </w:rPr>
            </w:pPr>
            <w:r w:rsidRPr="00CF3FF2">
              <w:rPr>
                <w:rFonts w:ascii="Century" w:hAnsi="Century"/>
                <w:color w:val="404040"/>
              </w:rPr>
              <w:t>There are 1</w:t>
            </w:r>
            <w:r w:rsidR="00056A7F" w:rsidRPr="00CF3FF2">
              <w:rPr>
                <w:rFonts w:ascii="Century" w:hAnsi="Century"/>
                <w:color w:val="404040"/>
              </w:rPr>
              <w:t>6.011</w:t>
            </w:r>
            <w:r w:rsidRPr="00CF3FF2">
              <w:rPr>
                <w:rFonts w:ascii="Century" w:hAnsi="Century"/>
                <w:color w:val="404040"/>
              </w:rPr>
              <w:t xml:space="preserve"> agencies excluding b</w:t>
            </w:r>
            <w:r w:rsidR="00EE4E90" w:rsidRPr="00CF3FF2">
              <w:rPr>
                <w:rFonts w:ascii="Century" w:hAnsi="Century"/>
                <w:color w:val="404040"/>
              </w:rPr>
              <w:t xml:space="preserve">ank insurance, </w:t>
            </w:r>
            <w:r w:rsidR="00056A7F" w:rsidRPr="00CF3FF2">
              <w:rPr>
                <w:rFonts w:ascii="Century" w:hAnsi="Century"/>
                <w:color w:val="404040"/>
              </w:rPr>
              <w:t>64</w:t>
            </w:r>
            <w:r w:rsidR="00EE4E90" w:rsidRPr="00CF3FF2">
              <w:rPr>
                <w:rFonts w:ascii="Century" w:hAnsi="Century"/>
                <w:color w:val="404040"/>
              </w:rPr>
              <w:t xml:space="preserve"> brokers and </w:t>
            </w:r>
            <w:r w:rsidR="009815A4" w:rsidRPr="00CF3FF2">
              <w:rPr>
                <w:rFonts w:ascii="Century" w:hAnsi="Century"/>
                <w:color w:val="404040"/>
              </w:rPr>
              <w:t>registered</w:t>
            </w:r>
            <w:r w:rsidR="00D11115">
              <w:rPr>
                <w:rFonts w:ascii="Century" w:hAnsi="Century"/>
                <w:color w:val="404040"/>
              </w:rPr>
              <w:t xml:space="preserve"> to the UCCET</w:t>
            </w:r>
            <w:r w:rsidR="009815A4" w:rsidRPr="00CF3FF2">
              <w:rPr>
                <w:rFonts w:ascii="Century" w:hAnsi="Century"/>
                <w:color w:val="404040"/>
              </w:rPr>
              <w:t xml:space="preserve"> </w:t>
            </w:r>
            <w:r w:rsidR="00056A7F" w:rsidRPr="00CF3FF2">
              <w:rPr>
                <w:rFonts w:ascii="Century" w:hAnsi="Century"/>
                <w:color w:val="404040"/>
              </w:rPr>
              <w:t>963</w:t>
            </w:r>
            <w:r w:rsidRPr="00CF3FF2">
              <w:rPr>
                <w:rFonts w:ascii="Century" w:hAnsi="Century"/>
                <w:color w:val="404040"/>
              </w:rPr>
              <w:t xml:space="preserve"> </w:t>
            </w:r>
            <w:r w:rsidR="00DC693C" w:rsidRPr="00CF3FF2">
              <w:rPr>
                <w:rFonts w:ascii="Century" w:hAnsi="Century"/>
                <w:color w:val="404040"/>
              </w:rPr>
              <w:t>experts</w:t>
            </w:r>
            <w:r w:rsidRPr="00CF3FF2">
              <w:rPr>
                <w:rFonts w:ascii="Century" w:hAnsi="Century"/>
                <w:color w:val="404040"/>
              </w:rPr>
              <w:t xml:space="preserve"> in insurance and </w:t>
            </w:r>
            <w:r w:rsidR="00A55CF3" w:rsidRPr="00CF3FF2">
              <w:rPr>
                <w:rFonts w:ascii="Century" w:hAnsi="Century"/>
                <w:color w:val="404040"/>
              </w:rPr>
              <w:t xml:space="preserve">private pension sector as at </w:t>
            </w:r>
            <w:smartTag w:uri="urn:schemas-microsoft-com:office:smarttags" w:element="date">
              <w:smartTagPr>
                <w:attr w:name="Year" w:val="2007"/>
                <w:attr w:name="Day" w:val="31"/>
                <w:attr w:name="Month" w:val="12"/>
              </w:smartTagPr>
              <w:r w:rsidRPr="00CF3FF2">
                <w:rPr>
                  <w:rFonts w:ascii="Century" w:hAnsi="Century"/>
                  <w:color w:val="404040"/>
                </w:rPr>
                <w:t>Dec</w:t>
              </w:r>
              <w:r w:rsidR="00A55CF3" w:rsidRPr="00CF3FF2">
                <w:rPr>
                  <w:rFonts w:ascii="Century" w:hAnsi="Century"/>
                  <w:color w:val="404040"/>
                </w:rPr>
                <w:t xml:space="preserve">ember 31, </w:t>
              </w:r>
              <w:r w:rsidRPr="00CF3FF2">
                <w:rPr>
                  <w:rFonts w:ascii="Century" w:hAnsi="Century"/>
                  <w:color w:val="404040"/>
                </w:rPr>
                <w:t>200</w:t>
              </w:r>
              <w:r w:rsidR="00056A7F" w:rsidRPr="00CF3FF2">
                <w:rPr>
                  <w:rFonts w:ascii="Century" w:hAnsi="Century"/>
                  <w:color w:val="404040"/>
                </w:rPr>
                <w:t>7</w:t>
              </w:r>
            </w:smartTag>
            <w:r w:rsidRPr="00CF3FF2">
              <w:rPr>
                <w:rFonts w:ascii="Century" w:hAnsi="Century"/>
                <w:color w:val="404040"/>
              </w:rPr>
              <w:t>. There are over 50 thousands of people that are employed in insurance sector including agencies, brokers, experts and 1</w:t>
            </w:r>
            <w:r w:rsidR="00056A7F" w:rsidRPr="00CF3FF2">
              <w:rPr>
                <w:rFonts w:ascii="Century" w:hAnsi="Century"/>
                <w:color w:val="404040"/>
              </w:rPr>
              <w:t>5.138</w:t>
            </w:r>
            <w:r w:rsidRPr="00CF3FF2">
              <w:rPr>
                <w:rFonts w:ascii="Century" w:hAnsi="Century"/>
                <w:color w:val="404040"/>
              </w:rPr>
              <w:t xml:space="preserve"> employees in insurance companies. </w:t>
            </w:r>
          </w:p>
          <w:p w:rsidR="00F75027" w:rsidRPr="00CF3FF2" w:rsidRDefault="00F75027" w:rsidP="008D17FE">
            <w:pPr>
              <w:rPr>
                <w:rFonts w:ascii="Century" w:hAnsi="Century"/>
                <w:color w:val="404040"/>
                <w:highlight w:val="yellow"/>
                <w:lang w:val="tr-TR"/>
              </w:rPr>
            </w:pPr>
          </w:p>
          <w:p w:rsidR="00350749" w:rsidRPr="00CF3FF2" w:rsidRDefault="00350749" w:rsidP="008D17FE">
            <w:pPr>
              <w:rPr>
                <w:rFonts w:ascii="Century" w:hAnsi="Century"/>
                <w:color w:val="404040"/>
                <w:highlight w:val="yellow"/>
                <w:lang w:val="tr-TR"/>
              </w:rPr>
            </w:pPr>
          </w:p>
          <w:p w:rsidR="000B012E" w:rsidRPr="003E6AE5" w:rsidRDefault="000B012E" w:rsidP="000B012E">
            <w:pPr>
              <w:jc w:val="both"/>
              <w:rPr>
                <w:rFonts w:ascii="Century" w:hAnsi="Century"/>
                <w:color w:val="404040"/>
                <w:highlight w:val="yellow"/>
              </w:rPr>
            </w:pPr>
            <w:r w:rsidRPr="003E6AE5">
              <w:rPr>
                <w:rFonts w:ascii="Century" w:hAnsi="Century"/>
                <w:color w:val="404040"/>
              </w:rPr>
              <w:lastRenderedPageBreak/>
              <w:t>Although non</w:t>
            </w:r>
            <w:r w:rsidR="00AB220A" w:rsidRPr="003E6AE5">
              <w:rPr>
                <w:rFonts w:ascii="Century" w:hAnsi="Century"/>
                <w:color w:val="404040"/>
              </w:rPr>
              <w:t>-</w:t>
            </w:r>
            <w:r w:rsidRPr="003E6AE5">
              <w:rPr>
                <w:rFonts w:ascii="Century" w:hAnsi="Century"/>
                <w:color w:val="404040"/>
              </w:rPr>
              <w:t>life companies produce more policies and work with more agencies than life/pension companies, their contributions to employment are almost equal.</w:t>
            </w:r>
            <w:r w:rsidR="001F1D5C" w:rsidRPr="003E6AE5">
              <w:rPr>
                <w:rFonts w:ascii="Century" w:hAnsi="Century"/>
                <w:color w:val="404040"/>
              </w:rPr>
              <w:t xml:space="preserve"> This situation is resulted from the marketing staff employed by the life/pension companies. </w:t>
            </w:r>
          </w:p>
          <w:p w:rsidR="000B012E" w:rsidRPr="003E6AE5" w:rsidRDefault="000B012E" w:rsidP="008D17FE">
            <w:pPr>
              <w:rPr>
                <w:rFonts w:ascii="Century" w:hAnsi="Century"/>
                <w:color w:val="404040"/>
                <w:highlight w:val="yellow"/>
                <w:lang w:val="tr-TR"/>
              </w:rPr>
            </w:pPr>
          </w:p>
          <w:p w:rsidR="003E6AE5" w:rsidRPr="003E6AE5" w:rsidRDefault="003E6AE5" w:rsidP="008D17FE">
            <w:pPr>
              <w:rPr>
                <w:rFonts w:ascii="Century" w:hAnsi="Century"/>
                <w:color w:val="404040"/>
                <w:highlight w:val="yellow"/>
                <w:lang w:val="tr-TR"/>
              </w:rPr>
            </w:pPr>
          </w:p>
          <w:p w:rsidR="003E6AE5" w:rsidRPr="003E6AE5" w:rsidRDefault="003E6AE5" w:rsidP="008D17FE">
            <w:pPr>
              <w:rPr>
                <w:rFonts w:ascii="Century" w:hAnsi="Century"/>
                <w:color w:val="404040"/>
                <w:highlight w:val="yellow"/>
                <w:lang w:val="tr-TR"/>
              </w:rPr>
            </w:pPr>
          </w:p>
          <w:p w:rsidR="00A53444" w:rsidRPr="003E6AE5" w:rsidRDefault="00E54B0C" w:rsidP="00A53444">
            <w:pPr>
              <w:jc w:val="both"/>
              <w:rPr>
                <w:rFonts w:ascii="Century" w:hAnsi="Century"/>
                <w:color w:val="404040"/>
              </w:rPr>
            </w:pPr>
            <w:r w:rsidRPr="003E6AE5">
              <w:rPr>
                <w:rFonts w:ascii="Century" w:hAnsi="Century"/>
                <w:color w:val="404040"/>
              </w:rPr>
              <w:t xml:space="preserve">While the number of policies in non-life insurance has shown a regular increase   in recent years, </w:t>
            </w:r>
            <w:r w:rsidR="00DC693C" w:rsidRPr="003E6AE5">
              <w:rPr>
                <w:rFonts w:ascii="Century" w:hAnsi="Century"/>
                <w:color w:val="404040"/>
              </w:rPr>
              <w:t xml:space="preserve">progress of </w:t>
            </w:r>
            <w:r w:rsidRPr="003E6AE5">
              <w:rPr>
                <w:rFonts w:ascii="Century" w:hAnsi="Century"/>
                <w:color w:val="404040"/>
              </w:rPr>
              <w:t xml:space="preserve">policy numbers </w:t>
            </w:r>
            <w:r w:rsidR="00DC693C" w:rsidRPr="003E6AE5">
              <w:rPr>
                <w:rFonts w:ascii="Century" w:hAnsi="Century"/>
                <w:color w:val="404040"/>
              </w:rPr>
              <w:t>in</w:t>
            </w:r>
            <w:r w:rsidRPr="003E6AE5">
              <w:rPr>
                <w:rFonts w:ascii="Century" w:hAnsi="Century"/>
                <w:color w:val="404040"/>
              </w:rPr>
              <w:t xml:space="preserve"> life </w:t>
            </w:r>
            <w:r w:rsidR="00DC693C" w:rsidRPr="003E6AE5">
              <w:rPr>
                <w:rFonts w:ascii="Century" w:hAnsi="Century"/>
                <w:color w:val="404040"/>
              </w:rPr>
              <w:t>branch</w:t>
            </w:r>
            <w:r w:rsidRPr="003E6AE5">
              <w:rPr>
                <w:rFonts w:ascii="Century" w:hAnsi="Century"/>
                <w:color w:val="404040"/>
              </w:rPr>
              <w:t xml:space="preserve"> has been </w:t>
            </w:r>
            <w:r w:rsidR="00DC693C" w:rsidRPr="003E6AE5">
              <w:rPr>
                <w:rFonts w:ascii="Century" w:hAnsi="Century"/>
                <w:color w:val="404040"/>
              </w:rPr>
              <w:t>fluctuating</w:t>
            </w:r>
            <w:r w:rsidRPr="003E6AE5">
              <w:rPr>
                <w:rFonts w:ascii="Century" w:hAnsi="Century"/>
                <w:color w:val="404040"/>
              </w:rPr>
              <w:t>. With the pension system taking into effect in 2003, individuals have mostly preferred to join private pensio</w:t>
            </w:r>
            <w:r w:rsidR="00A55CF3" w:rsidRPr="003E6AE5">
              <w:rPr>
                <w:rFonts w:ascii="Century" w:hAnsi="Century"/>
                <w:color w:val="404040"/>
              </w:rPr>
              <w:t>n system. In addition, many</w:t>
            </w:r>
            <w:r w:rsidRPr="003E6AE5">
              <w:rPr>
                <w:rFonts w:ascii="Century" w:hAnsi="Century"/>
                <w:color w:val="404040"/>
              </w:rPr>
              <w:t xml:space="preserve"> insured</w:t>
            </w:r>
            <w:r w:rsidR="00A55CF3" w:rsidRPr="003E6AE5">
              <w:rPr>
                <w:rFonts w:ascii="Century" w:hAnsi="Century"/>
                <w:color w:val="404040"/>
              </w:rPr>
              <w:t xml:space="preserve"> individual</w:t>
            </w:r>
            <w:r w:rsidRPr="003E6AE5">
              <w:rPr>
                <w:rFonts w:ascii="Century" w:hAnsi="Century"/>
                <w:color w:val="404040"/>
              </w:rPr>
              <w:t xml:space="preserve"> transfer</w:t>
            </w:r>
            <w:r w:rsidR="00E24467" w:rsidRPr="003E6AE5">
              <w:rPr>
                <w:rFonts w:ascii="Century" w:hAnsi="Century"/>
                <w:color w:val="404040"/>
              </w:rPr>
              <w:t>red</w:t>
            </w:r>
            <w:r w:rsidRPr="003E6AE5">
              <w:rPr>
                <w:rFonts w:ascii="Century" w:hAnsi="Century"/>
                <w:color w:val="404040"/>
              </w:rPr>
              <w:t xml:space="preserve"> their life insurance portfolio to pension system. This has resulted as a decrease in the number of life insurance policies in recent years.</w:t>
            </w:r>
            <w:r w:rsidR="00A53444" w:rsidRPr="003E6AE5">
              <w:rPr>
                <w:rFonts w:ascii="Century" w:hAnsi="Century"/>
                <w:color w:val="404040"/>
              </w:rPr>
              <w:t xml:space="preserve">  However, the number of policy in life insurance started again to increase in 2007.</w:t>
            </w:r>
          </w:p>
          <w:p w:rsidR="00E54B0C" w:rsidRPr="003E6AE5" w:rsidRDefault="00E54B0C" w:rsidP="00E54B0C">
            <w:pPr>
              <w:jc w:val="both"/>
              <w:rPr>
                <w:rFonts w:ascii="Century" w:hAnsi="Century"/>
                <w:color w:val="404040"/>
              </w:rPr>
            </w:pPr>
          </w:p>
          <w:p w:rsidR="00E54B0C" w:rsidRPr="003E6AE5" w:rsidRDefault="00E54B0C" w:rsidP="00E54B0C">
            <w:pPr>
              <w:jc w:val="both"/>
              <w:rPr>
                <w:rFonts w:ascii="Century" w:hAnsi="Century"/>
                <w:color w:val="404040"/>
              </w:rPr>
            </w:pPr>
            <w:r w:rsidRPr="003E6AE5">
              <w:rPr>
                <w:rFonts w:ascii="Century" w:hAnsi="Century"/>
                <w:color w:val="404040"/>
              </w:rPr>
              <w:t xml:space="preserve">Number of policies for non-life </w:t>
            </w:r>
            <w:r w:rsidR="00A47F1C" w:rsidRPr="003E6AE5">
              <w:rPr>
                <w:rFonts w:ascii="Century" w:hAnsi="Century"/>
                <w:color w:val="404040"/>
              </w:rPr>
              <w:t>insurance in</w:t>
            </w:r>
            <w:r w:rsidRPr="003E6AE5">
              <w:rPr>
                <w:rFonts w:ascii="Century" w:hAnsi="Century"/>
                <w:color w:val="404040"/>
              </w:rPr>
              <w:t xml:space="preserve">creased by </w:t>
            </w:r>
            <w:r w:rsidR="00A47F1C" w:rsidRPr="003E6AE5">
              <w:rPr>
                <w:rFonts w:ascii="Century" w:hAnsi="Century"/>
                <w:color w:val="404040"/>
              </w:rPr>
              <w:t xml:space="preserve">3 </w:t>
            </w:r>
            <w:r w:rsidRPr="003E6AE5">
              <w:rPr>
                <w:rFonts w:ascii="Century" w:hAnsi="Century"/>
                <w:color w:val="404040"/>
              </w:rPr>
              <w:t xml:space="preserve">% and number of policies for life </w:t>
            </w:r>
            <w:r w:rsidR="00A47F1C" w:rsidRPr="003E6AE5">
              <w:rPr>
                <w:rFonts w:ascii="Century" w:hAnsi="Century"/>
                <w:color w:val="404040"/>
              </w:rPr>
              <w:t>business also</w:t>
            </w:r>
            <w:r w:rsidRPr="003E6AE5">
              <w:rPr>
                <w:rFonts w:ascii="Century" w:hAnsi="Century"/>
                <w:color w:val="404040"/>
              </w:rPr>
              <w:t xml:space="preserve"> </w:t>
            </w:r>
            <w:r w:rsidR="00A47F1C" w:rsidRPr="003E6AE5">
              <w:rPr>
                <w:rFonts w:ascii="Century" w:hAnsi="Century"/>
                <w:color w:val="404040"/>
              </w:rPr>
              <w:t xml:space="preserve">increased by 17 </w:t>
            </w:r>
            <w:r w:rsidRPr="003E6AE5">
              <w:rPr>
                <w:rFonts w:ascii="Century" w:hAnsi="Century"/>
                <w:color w:val="404040"/>
              </w:rPr>
              <w:t>% in 200</w:t>
            </w:r>
            <w:r w:rsidR="00A47F1C" w:rsidRPr="003E6AE5">
              <w:rPr>
                <w:rFonts w:ascii="Century" w:hAnsi="Century"/>
                <w:color w:val="404040"/>
              </w:rPr>
              <w:t>7</w:t>
            </w:r>
            <w:r w:rsidRPr="003E6AE5">
              <w:rPr>
                <w:rFonts w:ascii="Century" w:hAnsi="Century"/>
                <w:color w:val="404040"/>
              </w:rPr>
              <w:t xml:space="preserve">. On the other hand, number of contracts in private pension market continued ongoing growth by </w:t>
            </w:r>
            <w:r w:rsidR="00A47F1C" w:rsidRPr="003E6AE5">
              <w:rPr>
                <w:rFonts w:ascii="Century" w:hAnsi="Century"/>
                <w:color w:val="404040"/>
              </w:rPr>
              <w:t>32 % in 2007</w:t>
            </w:r>
            <w:r w:rsidRPr="003E6AE5">
              <w:rPr>
                <w:rFonts w:ascii="Century" w:hAnsi="Century"/>
                <w:color w:val="404040"/>
              </w:rPr>
              <w:t>.</w:t>
            </w:r>
          </w:p>
          <w:p w:rsidR="006B1B26" w:rsidRPr="003E6AE5" w:rsidRDefault="006B1B26" w:rsidP="008D17FE">
            <w:pPr>
              <w:rPr>
                <w:rFonts w:ascii="Century" w:hAnsi="Century"/>
                <w:color w:val="404040"/>
                <w:lang w:val="tr-TR"/>
              </w:rPr>
            </w:pPr>
          </w:p>
          <w:p w:rsidR="00002C33" w:rsidRPr="003E6AE5" w:rsidRDefault="00002C33" w:rsidP="00002C33">
            <w:pPr>
              <w:jc w:val="both"/>
              <w:rPr>
                <w:rFonts w:ascii="Century" w:hAnsi="Century"/>
                <w:color w:val="404040"/>
              </w:rPr>
            </w:pPr>
            <w:r w:rsidRPr="003E6AE5">
              <w:rPr>
                <w:rFonts w:ascii="Century" w:hAnsi="Century"/>
                <w:color w:val="404040"/>
              </w:rPr>
              <w:t xml:space="preserve">According to their scale size, the insurance sector consists of mostly small sized companies in life and non-life insurance sectors. </w:t>
            </w:r>
            <w:r w:rsidR="008248C1" w:rsidRPr="003E6AE5">
              <w:rPr>
                <w:rFonts w:ascii="Century" w:hAnsi="Century"/>
                <w:color w:val="404040"/>
              </w:rPr>
              <w:t>The scale size is determined according to the asset size of companies; private pension activities are excluded.</w:t>
            </w:r>
            <w:r w:rsidRPr="003E6AE5">
              <w:rPr>
                <w:rFonts w:ascii="Century" w:hAnsi="Century"/>
                <w:color w:val="404040"/>
              </w:rPr>
              <w:t xml:space="preserve"> </w:t>
            </w:r>
          </w:p>
          <w:p w:rsidR="006B1B26" w:rsidRPr="00367FA3" w:rsidRDefault="006B1B26" w:rsidP="00E54B0C">
            <w:pPr>
              <w:jc w:val="both"/>
              <w:rPr>
                <w:rFonts w:ascii="Century" w:hAnsi="Century"/>
                <w:highlight w:val="yellow"/>
                <w:lang w:val="tr-TR"/>
              </w:rPr>
            </w:pPr>
          </w:p>
        </w:tc>
      </w:tr>
      <w:tr w:rsidR="004649B1" w:rsidRPr="00367FA3">
        <w:tc>
          <w:tcPr>
            <w:tcW w:w="9855" w:type="dxa"/>
            <w:gridSpan w:val="5"/>
          </w:tcPr>
          <w:p w:rsidR="00A47F1C" w:rsidRDefault="00A47F1C" w:rsidP="002D3D31">
            <w:pPr>
              <w:pStyle w:val="ResimYazs"/>
              <w:jc w:val="center"/>
              <w:rPr>
                <w:rFonts w:ascii="Century" w:hAnsi="Century"/>
                <w:highlight w:val="yellow"/>
                <w:lang w:val="tr-TR"/>
              </w:rPr>
            </w:pPr>
            <w:bookmarkStart w:id="24" w:name="_Toc170665527"/>
          </w:p>
          <w:p w:rsidR="00B3298E" w:rsidRDefault="00B3298E" w:rsidP="00B3298E">
            <w:pPr>
              <w:rPr>
                <w:highlight w:val="yellow"/>
                <w:lang w:val="tr-TR"/>
              </w:rPr>
            </w:pPr>
          </w:p>
          <w:p w:rsidR="00B3298E" w:rsidRDefault="00B3298E" w:rsidP="00B3298E">
            <w:pPr>
              <w:rPr>
                <w:highlight w:val="yellow"/>
                <w:lang w:val="tr-TR"/>
              </w:rPr>
            </w:pPr>
          </w:p>
          <w:p w:rsidR="00B3298E" w:rsidRDefault="00B3298E" w:rsidP="00B3298E">
            <w:pPr>
              <w:rPr>
                <w:highlight w:val="yellow"/>
                <w:lang w:val="tr-TR"/>
              </w:rPr>
            </w:pPr>
          </w:p>
          <w:p w:rsidR="00B3298E" w:rsidRDefault="00B3298E" w:rsidP="00B3298E">
            <w:pPr>
              <w:rPr>
                <w:highlight w:val="yellow"/>
                <w:lang w:val="tr-TR"/>
              </w:rPr>
            </w:pPr>
          </w:p>
          <w:p w:rsidR="004649B1" w:rsidRPr="00D5447D" w:rsidRDefault="004649B1" w:rsidP="002D3D31">
            <w:pPr>
              <w:pStyle w:val="ResimYazs"/>
              <w:jc w:val="center"/>
              <w:rPr>
                <w:rFonts w:ascii="Century" w:hAnsi="Century"/>
                <w:lang w:val="tr-TR"/>
              </w:rPr>
            </w:pPr>
            <w:r w:rsidRPr="00D5447D">
              <w:rPr>
                <w:rFonts w:ascii="Century" w:hAnsi="Century"/>
                <w:lang w:val="tr-TR"/>
              </w:rPr>
              <w:lastRenderedPageBreak/>
              <w:t xml:space="preserve">Tablo </w:t>
            </w:r>
            <w:r w:rsidRPr="00D5447D">
              <w:rPr>
                <w:rFonts w:ascii="Century" w:hAnsi="Century"/>
                <w:lang w:val="tr-TR"/>
              </w:rPr>
              <w:fldChar w:fldCharType="begin"/>
            </w:r>
            <w:r w:rsidRPr="00D5447D">
              <w:rPr>
                <w:rFonts w:ascii="Century" w:hAnsi="Century"/>
                <w:lang w:val="tr-TR"/>
              </w:rPr>
              <w:instrText xml:space="preserve"> STYLEREF 2 \s </w:instrText>
            </w:r>
            <w:r w:rsidRPr="00D5447D">
              <w:rPr>
                <w:rFonts w:ascii="Century" w:hAnsi="Century"/>
                <w:lang w:val="tr-TR"/>
              </w:rPr>
              <w:fldChar w:fldCharType="separate"/>
            </w:r>
            <w:r w:rsidR="00DA718E">
              <w:rPr>
                <w:rFonts w:ascii="Century" w:hAnsi="Century"/>
                <w:noProof/>
                <w:lang w:val="tr-TR"/>
              </w:rPr>
              <w:t>1.3</w:t>
            </w:r>
            <w:r w:rsidRPr="00D5447D">
              <w:rPr>
                <w:rFonts w:ascii="Century" w:hAnsi="Century"/>
                <w:lang w:val="tr-TR"/>
              </w:rPr>
              <w:fldChar w:fldCharType="end"/>
            </w:r>
            <w:r w:rsidRPr="00D5447D">
              <w:rPr>
                <w:rFonts w:ascii="Century" w:hAnsi="Century"/>
                <w:lang w:val="tr-TR"/>
              </w:rPr>
              <w:noBreakHyphen/>
            </w:r>
            <w:r w:rsidRPr="00D5447D">
              <w:rPr>
                <w:rFonts w:ascii="Century" w:hAnsi="Century"/>
                <w:lang w:val="tr-TR"/>
              </w:rPr>
              <w:fldChar w:fldCharType="begin"/>
            </w:r>
            <w:r w:rsidRPr="00D5447D">
              <w:rPr>
                <w:rFonts w:ascii="Century" w:hAnsi="Century"/>
                <w:lang w:val="tr-TR"/>
              </w:rPr>
              <w:instrText xml:space="preserve"> SEQ Tablo \* ARABIC \s 2 </w:instrText>
            </w:r>
            <w:r w:rsidRPr="00D5447D">
              <w:rPr>
                <w:rFonts w:ascii="Century" w:hAnsi="Century"/>
                <w:lang w:val="tr-TR"/>
              </w:rPr>
              <w:fldChar w:fldCharType="separate"/>
            </w:r>
            <w:r w:rsidR="00DA718E">
              <w:rPr>
                <w:rFonts w:ascii="Century" w:hAnsi="Century"/>
                <w:noProof/>
                <w:lang w:val="tr-TR"/>
              </w:rPr>
              <w:t>2</w:t>
            </w:r>
            <w:r w:rsidRPr="00D5447D">
              <w:rPr>
                <w:rFonts w:ascii="Century" w:hAnsi="Century"/>
                <w:lang w:val="tr-TR"/>
              </w:rPr>
              <w:fldChar w:fldCharType="end"/>
            </w:r>
            <w:r w:rsidRPr="00D5447D">
              <w:rPr>
                <w:rFonts w:ascii="Century" w:hAnsi="Century"/>
                <w:lang w:val="tr-TR"/>
              </w:rPr>
              <w:t xml:space="preserve">; </w:t>
            </w:r>
            <w:r w:rsidRPr="00D5447D">
              <w:rPr>
                <w:rFonts w:ascii="Century" w:hAnsi="Century"/>
                <w:bCs w:val="0"/>
                <w:lang w:val="tr-TR"/>
              </w:rPr>
              <w:t xml:space="preserve">Varlık Toplamına Göre Yapısal Göstergeler*  - </w:t>
            </w:r>
            <w:r w:rsidRPr="00D5447D">
              <w:rPr>
                <w:rFonts w:ascii="Century" w:hAnsi="Century"/>
                <w:b w:val="0"/>
                <w:bCs w:val="0"/>
                <w:i/>
                <w:lang w:val="tr-TR"/>
              </w:rPr>
              <w:t>Structural Indicators by Assets*</w:t>
            </w:r>
            <w:bookmarkEnd w:id="24"/>
          </w:p>
          <w:p w:rsidR="00EF2418" w:rsidRPr="00EF2C3D" w:rsidRDefault="00EF2C3D" w:rsidP="00002C33">
            <w:pPr>
              <w:jc w:val="center"/>
              <w:rPr>
                <w:rFonts w:ascii="Century" w:hAnsi="Century"/>
                <w:highlight w:val="yellow"/>
                <w:lang w:val="tr-TR"/>
              </w:rPr>
            </w:pPr>
            <w:r w:rsidRPr="00EF2C3D">
              <w:rPr>
                <w:rFonts w:ascii="Century" w:hAnsi="Century"/>
                <w:lang w:val="tr-TR"/>
              </w:rPr>
              <w:pict>
                <v:shape id="_x0000_i1034" type="#_x0000_t75" style="width:438pt;height:135pt">
                  <v:imagedata r:id="rId24" o:title=""/>
                </v:shape>
              </w:pict>
            </w:r>
          </w:p>
          <w:p w:rsidR="00D5447D" w:rsidRPr="00367FA3" w:rsidRDefault="00D5447D" w:rsidP="00002C33">
            <w:pPr>
              <w:jc w:val="center"/>
              <w:rPr>
                <w:rFonts w:ascii="Century" w:hAnsi="Century"/>
                <w:highlight w:val="yellow"/>
                <w:lang w:val="tr-TR"/>
              </w:rPr>
            </w:pPr>
          </w:p>
        </w:tc>
      </w:tr>
      <w:tr w:rsidR="004649B1" w:rsidRPr="00367FA3">
        <w:tc>
          <w:tcPr>
            <w:tcW w:w="4815" w:type="dxa"/>
            <w:gridSpan w:val="2"/>
          </w:tcPr>
          <w:p w:rsidR="00AF54EB" w:rsidRPr="00D5447D" w:rsidRDefault="00AF54EB" w:rsidP="00AF54EB">
            <w:pPr>
              <w:jc w:val="both"/>
              <w:rPr>
                <w:rFonts w:ascii="Century" w:hAnsi="Century"/>
                <w:sz w:val="22"/>
                <w:szCs w:val="22"/>
                <w:lang w:val="tr-TR"/>
              </w:rPr>
            </w:pPr>
            <w:r w:rsidRPr="00D5447D">
              <w:rPr>
                <w:rFonts w:ascii="Century" w:hAnsi="Century"/>
                <w:lang w:val="tr-TR"/>
              </w:rPr>
              <w:lastRenderedPageBreak/>
              <w:t>200</w:t>
            </w:r>
            <w:r w:rsidR="00D5447D" w:rsidRPr="00D5447D">
              <w:rPr>
                <w:rFonts w:ascii="Century" w:hAnsi="Century"/>
                <w:lang w:val="tr-TR"/>
              </w:rPr>
              <w:t>7</w:t>
            </w:r>
            <w:r w:rsidRPr="00D5447D">
              <w:rPr>
                <w:rFonts w:ascii="Century" w:hAnsi="Century"/>
                <w:lang w:val="tr-TR"/>
              </w:rPr>
              <w:t xml:space="preserve"> yılında üretilen poliçelerin yaklaşık %</w:t>
            </w:r>
            <w:r w:rsidR="0042127E" w:rsidRPr="00D5447D">
              <w:rPr>
                <w:rFonts w:ascii="Century" w:hAnsi="Century"/>
                <w:lang w:val="tr-TR"/>
              </w:rPr>
              <w:t xml:space="preserve"> </w:t>
            </w:r>
            <w:r w:rsidR="00D5447D" w:rsidRPr="00D5447D">
              <w:rPr>
                <w:rFonts w:ascii="Century" w:hAnsi="Century"/>
                <w:lang w:val="tr-TR"/>
              </w:rPr>
              <w:t>21</w:t>
            </w:r>
            <w:r w:rsidRPr="00D5447D">
              <w:rPr>
                <w:rFonts w:ascii="Century" w:hAnsi="Century"/>
                <w:lang w:val="tr-TR"/>
              </w:rPr>
              <w:t>’</w:t>
            </w:r>
            <w:r w:rsidR="00D5447D" w:rsidRPr="00D5447D">
              <w:rPr>
                <w:rFonts w:ascii="Century" w:hAnsi="Century"/>
                <w:lang w:val="tr-TR"/>
              </w:rPr>
              <w:t>i</w:t>
            </w:r>
            <w:r w:rsidRPr="00D5447D">
              <w:rPr>
                <w:rFonts w:ascii="Century" w:hAnsi="Century"/>
                <w:lang w:val="tr-TR"/>
              </w:rPr>
              <w:t xml:space="preserve"> </w:t>
            </w:r>
            <w:r w:rsidR="009814BC" w:rsidRPr="009814BC">
              <w:rPr>
                <w:rFonts w:ascii="Century" w:hAnsi="Century"/>
                <w:lang w:val="tr-TR"/>
              </w:rPr>
              <w:t>biri hayat, üçü hayat dışı olmak üzere büyük ölçekli dö</w:t>
            </w:r>
            <w:r w:rsidR="00D5447D" w:rsidRPr="009814BC">
              <w:rPr>
                <w:rFonts w:ascii="Century" w:hAnsi="Century"/>
                <w:lang w:val="tr-TR"/>
              </w:rPr>
              <w:t>rt</w:t>
            </w:r>
            <w:r w:rsidRPr="009814BC">
              <w:rPr>
                <w:rFonts w:ascii="Century" w:hAnsi="Century"/>
                <w:lang w:val="tr-TR"/>
              </w:rPr>
              <w:t xml:space="preserve"> şirket tarafından üretilmiş </w:t>
            </w:r>
            <w:r w:rsidR="000D6AB7" w:rsidRPr="009814BC">
              <w:rPr>
                <w:rFonts w:ascii="Century" w:hAnsi="Century"/>
                <w:lang w:val="tr-TR"/>
              </w:rPr>
              <w:t>olup,</w:t>
            </w:r>
            <w:r w:rsidRPr="009814BC">
              <w:rPr>
                <w:rFonts w:ascii="Century" w:hAnsi="Century"/>
                <w:lang w:val="tr-TR"/>
              </w:rPr>
              <w:t xml:space="preserve"> bu</w:t>
            </w:r>
            <w:r w:rsidRPr="00D5447D">
              <w:rPr>
                <w:rFonts w:ascii="Century" w:hAnsi="Century"/>
                <w:lang w:val="tr-TR"/>
              </w:rPr>
              <w:t xml:space="preserve"> şirketlerde personel başına düşen poliçe sayısı ortalama 3.</w:t>
            </w:r>
            <w:r w:rsidR="00D5447D" w:rsidRPr="00D5447D">
              <w:rPr>
                <w:rFonts w:ascii="Century" w:hAnsi="Century"/>
                <w:lang w:val="tr-TR"/>
              </w:rPr>
              <w:t>569</w:t>
            </w:r>
            <w:r w:rsidR="000D6AB7" w:rsidRPr="00D5447D">
              <w:rPr>
                <w:rFonts w:ascii="Century" w:hAnsi="Century"/>
                <w:lang w:val="tr-TR"/>
              </w:rPr>
              <w:t>’</w:t>
            </w:r>
            <w:r w:rsidR="00D5447D" w:rsidRPr="00D5447D">
              <w:rPr>
                <w:rFonts w:ascii="Century" w:hAnsi="Century"/>
                <w:lang w:val="tr-TR"/>
              </w:rPr>
              <w:t>dur</w:t>
            </w:r>
            <w:r w:rsidR="000D6AB7" w:rsidRPr="00D5447D">
              <w:rPr>
                <w:rFonts w:ascii="Century" w:hAnsi="Century"/>
                <w:lang w:val="tr-TR"/>
              </w:rPr>
              <w:t>.</w:t>
            </w:r>
            <w:r w:rsidRPr="00D5447D">
              <w:rPr>
                <w:rFonts w:ascii="Century" w:hAnsi="Century"/>
                <w:lang w:val="tr-TR"/>
              </w:rPr>
              <w:t xml:space="preserve"> </w:t>
            </w:r>
            <w:r w:rsidR="00D5447D" w:rsidRPr="00D5447D">
              <w:rPr>
                <w:rFonts w:ascii="Century" w:hAnsi="Century"/>
                <w:lang w:val="tr-TR"/>
              </w:rPr>
              <w:t>Dört</w:t>
            </w:r>
            <w:r w:rsidRPr="00D5447D">
              <w:rPr>
                <w:rFonts w:ascii="Century" w:hAnsi="Century"/>
                <w:lang w:val="tr-TR"/>
              </w:rPr>
              <w:t xml:space="preserve"> büyük şirket </w:t>
            </w:r>
            <w:r w:rsidR="00D5447D" w:rsidRPr="00D5447D">
              <w:rPr>
                <w:rFonts w:ascii="Century" w:hAnsi="Century"/>
                <w:lang w:val="tr-TR"/>
              </w:rPr>
              <w:t>4.603</w:t>
            </w:r>
            <w:r w:rsidRPr="00D5447D">
              <w:rPr>
                <w:rFonts w:ascii="Century" w:hAnsi="Century"/>
                <w:lang w:val="tr-TR"/>
              </w:rPr>
              <w:t xml:space="preserve"> acente ve </w:t>
            </w:r>
            <w:r w:rsidR="00D5447D" w:rsidRPr="00D5447D">
              <w:rPr>
                <w:rFonts w:ascii="Century" w:hAnsi="Century"/>
                <w:lang w:val="tr-TR"/>
              </w:rPr>
              <w:t>2.230</w:t>
            </w:r>
            <w:r w:rsidRPr="00D5447D">
              <w:rPr>
                <w:rFonts w:ascii="Century" w:hAnsi="Century"/>
                <w:lang w:val="tr-TR"/>
              </w:rPr>
              <w:t xml:space="preserve"> personele sahiptir ki, bu durum orta ölçekli şirketlere göre daha az personel </w:t>
            </w:r>
            <w:r w:rsidR="00C03E2D" w:rsidRPr="00D5447D">
              <w:rPr>
                <w:rFonts w:ascii="Century" w:hAnsi="Century"/>
                <w:lang w:val="tr-TR"/>
              </w:rPr>
              <w:t>ile</w:t>
            </w:r>
            <w:r w:rsidRPr="00D5447D">
              <w:rPr>
                <w:rFonts w:ascii="Century" w:hAnsi="Century"/>
                <w:lang w:val="tr-TR"/>
              </w:rPr>
              <w:t xml:space="preserve"> daha fazla ac</w:t>
            </w:r>
            <w:r w:rsidR="00D5447D" w:rsidRPr="00D5447D">
              <w:rPr>
                <w:rFonts w:ascii="Century" w:hAnsi="Century"/>
                <w:lang w:val="tr-TR"/>
              </w:rPr>
              <w:t>ente a</w:t>
            </w:r>
            <w:r w:rsidRPr="00D5447D">
              <w:rPr>
                <w:rFonts w:ascii="Century" w:hAnsi="Century"/>
                <w:lang w:val="tr-TR"/>
              </w:rPr>
              <w:t>nlamına gelmektedir.</w:t>
            </w:r>
          </w:p>
          <w:p w:rsidR="00741A89" w:rsidRPr="00367FA3" w:rsidRDefault="00741A89" w:rsidP="008D17FE">
            <w:pPr>
              <w:jc w:val="both"/>
              <w:rPr>
                <w:rFonts w:ascii="Century" w:hAnsi="Century"/>
                <w:highlight w:val="yellow"/>
                <w:lang w:val="tr-TR"/>
              </w:rPr>
            </w:pPr>
          </w:p>
          <w:p w:rsidR="004649B1" w:rsidRPr="00C40306" w:rsidRDefault="004649B1" w:rsidP="00C03E2D">
            <w:pPr>
              <w:pStyle w:val="Balk3"/>
              <w:spacing w:before="0" w:after="0"/>
              <w:ind w:left="0"/>
              <w:jc w:val="both"/>
              <w:rPr>
                <w:rFonts w:ascii="Century" w:hAnsi="Century"/>
                <w:sz w:val="24"/>
                <w:szCs w:val="24"/>
                <w:lang w:val="tr-TR"/>
              </w:rPr>
            </w:pPr>
            <w:bookmarkStart w:id="25" w:name="_Toc170253087"/>
            <w:bookmarkStart w:id="26" w:name="_Toc198287693"/>
            <w:bookmarkStart w:id="27" w:name="_Toc199251239"/>
            <w:r w:rsidRPr="00C40306">
              <w:rPr>
                <w:rFonts w:ascii="Century" w:hAnsi="Century"/>
                <w:sz w:val="24"/>
                <w:szCs w:val="24"/>
                <w:lang w:val="tr-TR"/>
              </w:rPr>
              <w:t>Sigorta ve Bireysel Emeklilik Şirketlerinin Yoğunlaşma Göstergeleri</w:t>
            </w:r>
            <w:bookmarkEnd w:id="25"/>
            <w:bookmarkEnd w:id="26"/>
            <w:bookmarkEnd w:id="27"/>
          </w:p>
          <w:p w:rsidR="00B57A8F" w:rsidRPr="00C40306" w:rsidRDefault="00B57A8F" w:rsidP="00B57A8F">
            <w:pPr>
              <w:rPr>
                <w:lang w:val="tr-TR"/>
              </w:rPr>
            </w:pPr>
          </w:p>
          <w:p w:rsidR="004649B1" w:rsidRPr="00C40306" w:rsidRDefault="004649B1" w:rsidP="00D15063">
            <w:pPr>
              <w:pStyle w:val="Balk4"/>
              <w:keepNext w:val="0"/>
              <w:numPr>
                <w:ilvl w:val="0"/>
                <w:numId w:val="10"/>
              </w:numPr>
              <w:spacing w:before="0" w:after="0"/>
              <w:ind w:left="357" w:firstLine="0"/>
              <w:jc w:val="both"/>
              <w:rPr>
                <w:rFonts w:ascii="Century" w:hAnsi="Century"/>
                <w:sz w:val="24"/>
                <w:szCs w:val="24"/>
                <w:lang w:val="tr-TR"/>
              </w:rPr>
            </w:pPr>
            <w:bookmarkStart w:id="28" w:name="_Toc198287694"/>
            <w:bookmarkStart w:id="29" w:name="_Toc199251240"/>
            <w:r w:rsidRPr="00C40306">
              <w:rPr>
                <w:rFonts w:ascii="Century" w:hAnsi="Century"/>
                <w:sz w:val="24"/>
                <w:szCs w:val="24"/>
                <w:lang w:val="tr-TR"/>
              </w:rPr>
              <w:t>Varlık Toplamına Göre Yoğunlaşma Göstergeleri</w:t>
            </w:r>
            <w:bookmarkEnd w:id="28"/>
            <w:bookmarkEnd w:id="29"/>
          </w:p>
          <w:p w:rsidR="004649B1" w:rsidRPr="00C40306" w:rsidRDefault="004649B1" w:rsidP="008D17FE">
            <w:pPr>
              <w:jc w:val="both"/>
              <w:rPr>
                <w:rFonts w:ascii="Century" w:hAnsi="Century"/>
                <w:lang w:val="tr-TR"/>
              </w:rPr>
            </w:pPr>
          </w:p>
          <w:p w:rsidR="004649B1" w:rsidRPr="002E0195" w:rsidRDefault="00BE7E07" w:rsidP="008D17FE">
            <w:pPr>
              <w:jc w:val="both"/>
              <w:rPr>
                <w:rFonts w:ascii="Century" w:hAnsi="Century"/>
                <w:lang w:val="tr-TR"/>
              </w:rPr>
            </w:pPr>
            <w:r w:rsidRPr="002E0195">
              <w:rPr>
                <w:rFonts w:ascii="Century" w:hAnsi="Century"/>
                <w:lang w:val="tr-TR"/>
              </w:rPr>
              <w:t>Varlık toplamı</w:t>
            </w:r>
            <w:r w:rsidR="004649B1" w:rsidRPr="002E0195">
              <w:rPr>
                <w:rFonts w:ascii="Century" w:hAnsi="Century"/>
                <w:lang w:val="tr-TR"/>
              </w:rPr>
              <w:t xml:space="preserve"> açısından son yıllara kadar hayat sigorta şirketlerinin gerisinde olan hayat dışı sigorta şirketlerinin sektör içindeki ağırlığı</w:t>
            </w:r>
            <w:r w:rsidR="00C200D8" w:rsidRPr="002E0195">
              <w:rPr>
                <w:rFonts w:ascii="Century" w:hAnsi="Century"/>
                <w:lang w:val="tr-TR"/>
              </w:rPr>
              <w:t>,</w:t>
            </w:r>
            <w:r w:rsidR="004649B1" w:rsidRPr="002E0195">
              <w:rPr>
                <w:rFonts w:ascii="Century" w:hAnsi="Century"/>
                <w:lang w:val="tr-TR"/>
              </w:rPr>
              <w:t xml:space="preserve"> </w:t>
            </w:r>
            <w:r w:rsidR="00C200D8" w:rsidRPr="002E0195">
              <w:rPr>
                <w:rFonts w:ascii="Century" w:hAnsi="Century"/>
                <w:lang w:val="tr-TR"/>
              </w:rPr>
              <w:t xml:space="preserve">2005 yılından itibaren </w:t>
            </w:r>
            <w:r w:rsidR="004649B1" w:rsidRPr="002E0195">
              <w:rPr>
                <w:rFonts w:ascii="Century" w:hAnsi="Century"/>
                <w:lang w:val="tr-TR"/>
              </w:rPr>
              <w:t>enflasyon düzeltmesinin etkisiyle artmıştır. Enflasyon düzeltmesinin hayat dışı sigorta şirketlerinde daha fazla artışa yol açmasında, kuruluş tarihlerinin nispeten daha eski ve varlıklarının içinde parasal olmayan kıymetlerin daha fazla olması etkili olmuştur. 200</w:t>
            </w:r>
            <w:r w:rsidR="00C40306" w:rsidRPr="002E0195">
              <w:rPr>
                <w:rFonts w:ascii="Century" w:hAnsi="Century"/>
                <w:lang w:val="tr-TR"/>
              </w:rPr>
              <w:t>7</w:t>
            </w:r>
            <w:r w:rsidR="004649B1" w:rsidRPr="002E0195">
              <w:rPr>
                <w:rFonts w:ascii="Century" w:hAnsi="Century"/>
                <w:lang w:val="tr-TR"/>
              </w:rPr>
              <w:t xml:space="preserve"> yılında </w:t>
            </w:r>
            <w:r w:rsidR="00C40306" w:rsidRPr="002E0195">
              <w:rPr>
                <w:rFonts w:ascii="Century" w:hAnsi="Century"/>
                <w:lang w:val="tr-TR"/>
              </w:rPr>
              <w:t xml:space="preserve">her iki grup şirket </w:t>
            </w:r>
            <w:r w:rsidR="002E0195" w:rsidRPr="002E0195">
              <w:rPr>
                <w:rFonts w:ascii="Century" w:hAnsi="Century"/>
                <w:lang w:val="tr-TR"/>
              </w:rPr>
              <w:t xml:space="preserve">için </w:t>
            </w:r>
            <w:r w:rsidR="00C40306" w:rsidRPr="002E0195">
              <w:rPr>
                <w:rFonts w:ascii="Century" w:hAnsi="Century"/>
                <w:lang w:val="tr-TR"/>
              </w:rPr>
              <w:t xml:space="preserve">de </w:t>
            </w:r>
            <w:r w:rsidR="002E0195" w:rsidRPr="002E0195">
              <w:rPr>
                <w:rFonts w:ascii="Century" w:hAnsi="Century"/>
                <w:lang w:val="tr-TR"/>
              </w:rPr>
              <w:t xml:space="preserve">büyüme </w:t>
            </w:r>
            <w:r w:rsidR="00C40306" w:rsidRPr="002E0195">
              <w:rPr>
                <w:rFonts w:ascii="Century" w:hAnsi="Century"/>
                <w:lang w:val="tr-TR"/>
              </w:rPr>
              <w:t xml:space="preserve">yaklaşık </w:t>
            </w:r>
            <w:r w:rsidR="002E0195" w:rsidRPr="002E0195">
              <w:rPr>
                <w:rFonts w:ascii="Century" w:hAnsi="Century"/>
                <w:lang w:val="tr-TR"/>
              </w:rPr>
              <w:t xml:space="preserve">olarak </w:t>
            </w:r>
            <w:r w:rsidR="00C40306" w:rsidRPr="002E0195">
              <w:rPr>
                <w:rFonts w:ascii="Century" w:hAnsi="Century"/>
                <w:lang w:val="tr-TR"/>
              </w:rPr>
              <w:t xml:space="preserve">aynı oranda </w:t>
            </w:r>
            <w:r w:rsidR="002E0195" w:rsidRPr="002E0195">
              <w:rPr>
                <w:rFonts w:ascii="Century" w:hAnsi="Century"/>
                <w:lang w:val="tr-TR"/>
              </w:rPr>
              <w:t>gerçekleşmiş, h</w:t>
            </w:r>
            <w:r w:rsidR="004649B1" w:rsidRPr="002E0195">
              <w:rPr>
                <w:rFonts w:ascii="Century" w:hAnsi="Century"/>
                <w:lang w:val="tr-TR"/>
              </w:rPr>
              <w:t>ayat/emeklilik şirketleri</w:t>
            </w:r>
            <w:r w:rsidR="002E0195" w:rsidRPr="002E0195">
              <w:rPr>
                <w:rFonts w:ascii="Century" w:hAnsi="Century"/>
                <w:lang w:val="tr-TR"/>
              </w:rPr>
              <w:t xml:space="preserve"> % 27 oranında büyürken, hayat dışı sigorta şirketleri % 25 oranında büyümüştür.</w:t>
            </w:r>
            <w:r w:rsidR="004649B1" w:rsidRPr="002E0195">
              <w:rPr>
                <w:rFonts w:ascii="Century" w:hAnsi="Century"/>
                <w:lang w:val="tr-TR"/>
              </w:rPr>
              <w:t xml:space="preserve"> </w:t>
            </w:r>
          </w:p>
          <w:p w:rsidR="0098652B" w:rsidRDefault="0098652B" w:rsidP="008D17FE">
            <w:pPr>
              <w:jc w:val="both"/>
              <w:rPr>
                <w:rFonts w:ascii="Century" w:hAnsi="Century"/>
                <w:highlight w:val="yellow"/>
                <w:lang w:val="tr-TR"/>
              </w:rPr>
            </w:pPr>
          </w:p>
          <w:p w:rsidR="00E70D98" w:rsidRDefault="00E70D98" w:rsidP="008D17FE">
            <w:pPr>
              <w:jc w:val="both"/>
              <w:rPr>
                <w:rFonts w:ascii="Century" w:hAnsi="Century"/>
                <w:highlight w:val="yellow"/>
                <w:lang w:val="tr-TR"/>
              </w:rPr>
            </w:pPr>
          </w:p>
          <w:p w:rsidR="004649B1" w:rsidRPr="002E0195" w:rsidRDefault="004649B1" w:rsidP="008D17FE">
            <w:pPr>
              <w:jc w:val="both"/>
              <w:rPr>
                <w:rFonts w:ascii="Century" w:hAnsi="Century"/>
                <w:lang w:val="tr-TR"/>
              </w:rPr>
            </w:pPr>
            <w:r w:rsidRPr="002E0195">
              <w:rPr>
                <w:rFonts w:ascii="Century" w:hAnsi="Century"/>
                <w:lang w:val="tr-TR"/>
              </w:rPr>
              <w:lastRenderedPageBreak/>
              <w:t>Grup ayrımı yapılmaksızın aktif büyüklüğüne göre yoğunlaşma göstergeleri incelendiğinde</w:t>
            </w:r>
            <w:r w:rsidR="00C200D8" w:rsidRPr="002E0195">
              <w:rPr>
                <w:rFonts w:ascii="Century" w:hAnsi="Century"/>
                <w:lang w:val="tr-TR"/>
              </w:rPr>
              <w:t>,</w:t>
            </w:r>
            <w:r w:rsidRPr="002E0195">
              <w:rPr>
                <w:rFonts w:ascii="Century" w:hAnsi="Century"/>
                <w:lang w:val="tr-TR"/>
              </w:rPr>
              <w:t xml:space="preserve"> </w:t>
            </w:r>
            <w:r w:rsidR="00C200D8" w:rsidRPr="002E0195">
              <w:rPr>
                <w:rFonts w:ascii="Century" w:hAnsi="Century"/>
                <w:lang w:val="tr-TR"/>
              </w:rPr>
              <w:t>200</w:t>
            </w:r>
            <w:r w:rsidR="002E0195" w:rsidRPr="002E0195">
              <w:rPr>
                <w:rFonts w:ascii="Century" w:hAnsi="Century"/>
                <w:lang w:val="tr-TR"/>
              </w:rPr>
              <w:t>7</w:t>
            </w:r>
            <w:r w:rsidR="00C200D8" w:rsidRPr="002E0195">
              <w:rPr>
                <w:rFonts w:ascii="Century" w:hAnsi="Century"/>
                <w:lang w:val="tr-TR"/>
              </w:rPr>
              <w:t xml:space="preserve"> yılında </w:t>
            </w:r>
            <w:r w:rsidRPr="002E0195">
              <w:rPr>
                <w:rFonts w:ascii="Century" w:hAnsi="Century"/>
                <w:lang w:val="tr-TR"/>
              </w:rPr>
              <w:t xml:space="preserve">yoğunlaşmanın </w:t>
            </w:r>
            <w:r w:rsidR="002E0195" w:rsidRPr="002E0195">
              <w:rPr>
                <w:rFonts w:ascii="Century" w:hAnsi="Century"/>
                <w:lang w:val="tr-TR"/>
              </w:rPr>
              <w:t>arttığı</w:t>
            </w:r>
            <w:r w:rsidRPr="002E0195">
              <w:rPr>
                <w:rFonts w:ascii="Century" w:hAnsi="Century"/>
                <w:lang w:val="tr-TR"/>
              </w:rPr>
              <w:t xml:space="preserve">, grup ayrımında incelendiğinde ise </w:t>
            </w:r>
            <w:r w:rsidR="00C576B0">
              <w:rPr>
                <w:rFonts w:ascii="Century" w:hAnsi="Century"/>
                <w:lang w:val="tr-TR"/>
              </w:rPr>
              <w:t>yoğunlaşmanın h</w:t>
            </w:r>
            <w:r w:rsidRPr="002E0195">
              <w:rPr>
                <w:rFonts w:ascii="Century" w:hAnsi="Century"/>
                <w:lang w:val="tr-TR"/>
              </w:rPr>
              <w:t xml:space="preserve">ayat dışı grubunda </w:t>
            </w:r>
            <w:r w:rsidR="00C576B0">
              <w:rPr>
                <w:rFonts w:ascii="Century" w:hAnsi="Century"/>
                <w:lang w:val="tr-TR"/>
              </w:rPr>
              <w:t>a</w:t>
            </w:r>
            <w:r w:rsidR="002E0195" w:rsidRPr="002E0195">
              <w:rPr>
                <w:rFonts w:ascii="Century" w:hAnsi="Century"/>
                <w:lang w:val="tr-TR"/>
              </w:rPr>
              <w:t>zalırken</w:t>
            </w:r>
            <w:r w:rsidRPr="002E0195">
              <w:rPr>
                <w:rFonts w:ascii="Century" w:hAnsi="Century"/>
                <w:lang w:val="tr-TR"/>
              </w:rPr>
              <w:t xml:space="preserve">, hayat/emeklilik grubunda </w:t>
            </w:r>
            <w:r w:rsidR="002E0195" w:rsidRPr="002E0195">
              <w:rPr>
                <w:rFonts w:ascii="Century" w:hAnsi="Century"/>
                <w:lang w:val="tr-TR"/>
              </w:rPr>
              <w:t>arttığı</w:t>
            </w:r>
            <w:r w:rsidRPr="002E0195">
              <w:rPr>
                <w:rFonts w:ascii="Century" w:hAnsi="Century"/>
                <w:lang w:val="tr-TR"/>
              </w:rPr>
              <w:t xml:space="preserve"> görülmektedir.  </w:t>
            </w:r>
          </w:p>
          <w:p w:rsidR="00EF2418" w:rsidRPr="00367FA3" w:rsidRDefault="00EF2418"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AF54EB" w:rsidRPr="00CF3FF2" w:rsidRDefault="00AF54EB" w:rsidP="00AF54EB">
            <w:pPr>
              <w:jc w:val="both"/>
              <w:rPr>
                <w:rFonts w:ascii="Century" w:hAnsi="Century"/>
                <w:color w:val="404040"/>
              </w:rPr>
            </w:pPr>
            <w:r w:rsidRPr="00CF3FF2">
              <w:rPr>
                <w:rFonts w:ascii="Century" w:hAnsi="Century"/>
                <w:color w:val="404040"/>
              </w:rPr>
              <w:t xml:space="preserve">While almost </w:t>
            </w:r>
            <w:r w:rsidR="00D5447D" w:rsidRPr="00CF3FF2">
              <w:rPr>
                <w:rFonts w:ascii="Century" w:hAnsi="Century"/>
                <w:color w:val="404040"/>
              </w:rPr>
              <w:t>21</w:t>
            </w:r>
            <w:r w:rsidRPr="00CF3FF2">
              <w:rPr>
                <w:rFonts w:ascii="Century" w:hAnsi="Century"/>
                <w:color w:val="404040"/>
              </w:rPr>
              <w:t>% of the policies written in the year of 200</w:t>
            </w:r>
            <w:r w:rsidR="00D5447D" w:rsidRPr="00CF3FF2">
              <w:rPr>
                <w:rFonts w:ascii="Century" w:hAnsi="Century"/>
                <w:color w:val="404040"/>
              </w:rPr>
              <w:t>7</w:t>
            </w:r>
            <w:r w:rsidRPr="00CF3FF2">
              <w:rPr>
                <w:rFonts w:ascii="Century" w:hAnsi="Century"/>
                <w:color w:val="404040"/>
              </w:rPr>
              <w:t xml:space="preserve"> were generated by big sized companies, number of policies per p</w:t>
            </w:r>
            <w:r w:rsidR="005167F3" w:rsidRPr="00CF3FF2">
              <w:rPr>
                <w:rFonts w:ascii="Century" w:hAnsi="Century"/>
                <w:color w:val="404040"/>
              </w:rPr>
              <w:t>ersonnel was 3,</w:t>
            </w:r>
            <w:r w:rsidR="00D5447D" w:rsidRPr="00CF3FF2">
              <w:rPr>
                <w:rFonts w:ascii="Century" w:hAnsi="Century"/>
                <w:color w:val="404040"/>
              </w:rPr>
              <w:t>569</w:t>
            </w:r>
            <w:r w:rsidRPr="00CF3FF2">
              <w:rPr>
                <w:rFonts w:ascii="Century" w:hAnsi="Century"/>
                <w:color w:val="404040"/>
              </w:rPr>
              <w:t xml:space="preserve"> for these </w:t>
            </w:r>
            <w:r w:rsidR="00D5447D" w:rsidRPr="00CF3FF2">
              <w:rPr>
                <w:rFonts w:ascii="Century" w:hAnsi="Century"/>
                <w:color w:val="404040"/>
              </w:rPr>
              <w:t>four</w:t>
            </w:r>
            <w:r w:rsidRPr="00CF3FF2">
              <w:rPr>
                <w:rFonts w:ascii="Century" w:hAnsi="Century"/>
                <w:color w:val="404040"/>
              </w:rPr>
              <w:t xml:space="preserve"> companies. They have </w:t>
            </w:r>
            <w:r w:rsidR="00D5447D" w:rsidRPr="00CF3FF2">
              <w:rPr>
                <w:rFonts w:ascii="Century" w:hAnsi="Century"/>
                <w:color w:val="404040"/>
              </w:rPr>
              <w:t>4,603</w:t>
            </w:r>
            <w:r w:rsidRPr="00CF3FF2">
              <w:rPr>
                <w:rFonts w:ascii="Century" w:hAnsi="Century"/>
                <w:color w:val="404040"/>
              </w:rPr>
              <w:t xml:space="preserve"> agencies and </w:t>
            </w:r>
            <w:r w:rsidR="00D5447D" w:rsidRPr="00CF3FF2">
              <w:rPr>
                <w:rFonts w:ascii="Century" w:hAnsi="Century"/>
                <w:color w:val="404040"/>
              </w:rPr>
              <w:t>2,230</w:t>
            </w:r>
            <w:r w:rsidRPr="00CF3FF2">
              <w:rPr>
                <w:rFonts w:ascii="Century" w:hAnsi="Century"/>
                <w:color w:val="404040"/>
              </w:rPr>
              <w:t xml:space="preserve"> staff which means operating with more agencies but less staff compared to medium size companies.</w:t>
            </w:r>
          </w:p>
          <w:p w:rsidR="00AF54EB" w:rsidRPr="00CF3FF2" w:rsidRDefault="00AF54EB" w:rsidP="00AF54EB">
            <w:pPr>
              <w:framePr w:hSpace="141" w:wrap="around" w:vAnchor="page" w:hAnchor="margin" w:y="1441"/>
              <w:rPr>
                <w:rFonts w:ascii="Century" w:hAnsi="Century"/>
                <w:color w:val="404040"/>
                <w:highlight w:val="yellow"/>
              </w:rPr>
            </w:pPr>
          </w:p>
          <w:p w:rsidR="00CA056C" w:rsidRPr="00F9493B" w:rsidRDefault="00CA056C" w:rsidP="008D17FE">
            <w:pPr>
              <w:rPr>
                <w:rFonts w:ascii="Century" w:hAnsi="Century"/>
                <w:color w:val="1C1C1C"/>
                <w:lang w:val="tr-TR"/>
              </w:rPr>
            </w:pPr>
          </w:p>
          <w:p w:rsidR="00741A89" w:rsidRPr="00F9493B" w:rsidRDefault="00741A89" w:rsidP="008D17FE">
            <w:pPr>
              <w:rPr>
                <w:rFonts w:ascii="Century" w:hAnsi="Century"/>
                <w:color w:val="1C1C1C"/>
                <w:lang w:val="tr-TR"/>
              </w:rPr>
            </w:pPr>
          </w:p>
          <w:p w:rsidR="00CA056C" w:rsidRPr="00CF3FF2" w:rsidRDefault="00EF2418" w:rsidP="009C3E58">
            <w:pPr>
              <w:ind w:left="91"/>
              <w:rPr>
                <w:rFonts w:ascii="Century" w:hAnsi="Century"/>
                <w:b/>
                <w:color w:val="404040"/>
                <w:lang w:val="tr-TR"/>
              </w:rPr>
            </w:pPr>
            <w:r w:rsidRPr="00CF3FF2">
              <w:rPr>
                <w:rFonts w:ascii="Century" w:hAnsi="Century"/>
                <w:b/>
                <w:color w:val="404040"/>
                <w:lang w:val="tr-TR"/>
              </w:rPr>
              <w:t>1</w:t>
            </w:r>
            <w:r w:rsidR="00CA056C" w:rsidRPr="00CF3FF2">
              <w:rPr>
                <w:rFonts w:ascii="Century" w:hAnsi="Century"/>
                <w:b/>
                <w:color w:val="404040"/>
                <w:lang w:val="tr-TR"/>
              </w:rPr>
              <w:t>.3.</w:t>
            </w:r>
            <w:r w:rsidR="00752D5D" w:rsidRPr="00CF3FF2">
              <w:rPr>
                <w:rFonts w:ascii="Century" w:hAnsi="Century"/>
                <w:b/>
                <w:color w:val="404040"/>
                <w:lang w:val="tr-TR"/>
              </w:rPr>
              <w:t>2. Concentration Indicators of t</w:t>
            </w:r>
            <w:r w:rsidR="00CA056C" w:rsidRPr="00CF3FF2">
              <w:rPr>
                <w:rFonts w:ascii="Century" w:hAnsi="Century"/>
                <w:b/>
                <w:color w:val="404040"/>
                <w:lang w:val="tr-TR"/>
              </w:rPr>
              <w:t>he Insurance / Private Pension Companies</w:t>
            </w:r>
          </w:p>
          <w:p w:rsidR="00B57A8F" w:rsidRPr="00CF3FF2" w:rsidRDefault="00B57A8F" w:rsidP="009C3E58">
            <w:pPr>
              <w:ind w:left="91"/>
              <w:rPr>
                <w:rFonts w:ascii="Century" w:hAnsi="Century"/>
                <w:b/>
                <w:color w:val="404040"/>
                <w:lang w:val="tr-TR"/>
              </w:rPr>
            </w:pPr>
          </w:p>
          <w:p w:rsidR="00CA056C" w:rsidRPr="00CF3FF2" w:rsidRDefault="00CA056C" w:rsidP="00B57A8F">
            <w:pPr>
              <w:ind w:left="357"/>
              <w:rPr>
                <w:rFonts w:ascii="Century" w:hAnsi="Century"/>
                <w:b/>
                <w:color w:val="404040"/>
                <w:lang w:val="tr-TR"/>
              </w:rPr>
            </w:pPr>
            <w:r w:rsidRPr="00CF3FF2">
              <w:rPr>
                <w:rFonts w:ascii="Century" w:hAnsi="Century"/>
                <w:b/>
                <w:color w:val="404040"/>
                <w:lang w:val="tr-TR"/>
              </w:rPr>
              <w:t>A.  Concentration Indicators of Assets</w:t>
            </w:r>
          </w:p>
          <w:p w:rsidR="00CA056C" w:rsidRPr="00CF3FF2" w:rsidRDefault="00CA056C" w:rsidP="008D17FE">
            <w:pPr>
              <w:rPr>
                <w:rFonts w:ascii="Century" w:hAnsi="Century"/>
                <w:color w:val="404040"/>
                <w:lang w:val="tr-TR"/>
              </w:rPr>
            </w:pPr>
          </w:p>
          <w:p w:rsidR="00CA056C" w:rsidRPr="00CF3FF2" w:rsidRDefault="00CA056C" w:rsidP="008D17FE">
            <w:pPr>
              <w:rPr>
                <w:rFonts w:ascii="Century" w:hAnsi="Century"/>
                <w:color w:val="404040"/>
                <w:lang w:val="tr-TR"/>
              </w:rPr>
            </w:pPr>
          </w:p>
          <w:p w:rsidR="001F15B0" w:rsidRPr="00CF3FF2" w:rsidRDefault="001F15B0" w:rsidP="001F15B0">
            <w:pPr>
              <w:jc w:val="both"/>
              <w:rPr>
                <w:rFonts w:ascii="Century" w:hAnsi="Century"/>
                <w:color w:val="404040"/>
              </w:rPr>
            </w:pPr>
            <w:r w:rsidRPr="00CF3FF2">
              <w:rPr>
                <w:rFonts w:ascii="Century" w:hAnsi="Century"/>
                <w:color w:val="404040"/>
              </w:rPr>
              <w:t>The assets of non</w:t>
            </w:r>
            <w:r w:rsidR="00AB220A" w:rsidRPr="00CF3FF2">
              <w:rPr>
                <w:rFonts w:ascii="Century" w:hAnsi="Century"/>
                <w:color w:val="404040"/>
              </w:rPr>
              <w:t>-</w:t>
            </w:r>
            <w:r w:rsidRPr="00CF3FF2">
              <w:rPr>
                <w:rFonts w:ascii="Century" w:hAnsi="Century"/>
                <w:color w:val="404040"/>
              </w:rPr>
              <w:t>life insurance companies had been lower that the assets of life insurance and pension companies until the inflation adjustment made in 2005. Since non</w:t>
            </w:r>
            <w:r w:rsidR="004F2D69" w:rsidRPr="00CF3FF2">
              <w:rPr>
                <w:rFonts w:ascii="Century" w:hAnsi="Century"/>
                <w:color w:val="404040"/>
              </w:rPr>
              <w:t xml:space="preserve"> </w:t>
            </w:r>
            <w:r w:rsidRPr="00CF3FF2">
              <w:rPr>
                <w:rFonts w:ascii="Century" w:hAnsi="Century"/>
                <w:color w:val="404040"/>
              </w:rPr>
              <w:t>-</w:t>
            </w:r>
            <w:r w:rsidR="004F2D69" w:rsidRPr="00CF3FF2">
              <w:rPr>
                <w:rFonts w:ascii="Century" w:hAnsi="Century"/>
                <w:color w:val="404040"/>
              </w:rPr>
              <w:t xml:space="preserve"> </w:t>
            </w:r>
            <w:r w:rsidRPr="00CF3FF2">
              <w:rPr>
                <w:rFonts w:ascii="Century" w:hAnsi="Century"/>
                <w:color w:val="404040"/>
              </w:rPr>
              <w:t xml:space="preserve">life companies are older and have more non-monetary assets, the inflation adjustment </w:t>
            </w:r>
            <w:r w:rsidR="003A7564" w:rsidRPr="00CF3FF2">
              <w:rPr>
                <w:rFonts w:ascii="Century" w:hAnsi="Century"/>
                <w:color w:val="404040"/>
              </w:rPr>
              <w:t>on asset values had more e</w:t>
            </w:r>
            <w:r w:rsidRPr="00CF3FF2">
              <w:rPr>
                <w:rFonts w:ascii="Century" w:hAnsi="Century"/>
                <w:color w:val="404040"/>
              </w:rPr>
              <w:t>ffect</w:t>
            </w:r>
            <w:r w:rsidR="003A7564" w:rsidRPr="00CF3FF2">
              <w:rPr>
                <w:rFonts w:ascii="Century" w:hAnsi="Century"/>
                <w:color w:val="404040"/>
              </w:rPr>
              <w:t xml:space="preserve"> for </w:t>
            </w:r>
            <w:r w:rsidRPr="00CF3FF2">
              <w:rPr>
                <w:rFonts w:ascii="Century" w:hAnsi="Century"/>
                <w:color w:val="404040"/>
              </w:rPr>
              <w:t>non</w:t>
            </w:r>
            <w:r w:rsidR="004F2D69" w:rsidRPr="00CF3FF2">
              <w:rPr>
                <w:rFonts w:ascii="Century" w:hAnsi="Century"/>
                <w:color w:val="404040"/>
              </w:rPr>
              <w:t xml:space="preserve"> </w:t>
            </w:r>
            <w:r w:rsidRPr="00CF3FF2">
              <w:rPr>
                <w:rFonts w:ascii="Century" w:hAnsi="Century"/>
                <w:color w:val="404040"/>
              </w:rPr>
              <w:t>-</w:t>
            </w:r>
            <w:r w:rsidR="004F2D69" w:rsidRPr="00CF3FF2">
              <w:rPr>
                <w:rFonts w:ascii="Century" w:hAnsi="Century"/>
                <w:color w:val="404040"/>
              </w:rPr>
              <w:t xml:space="preserve"> </w:t>
            </w:r>
            <w:r w:rsidR="003A7564" w:rsidRPr="00CF3FF2">
              <w:rPr>
                <w:rFonts w:ascii="Century" w:hAnsi="Century"/>
                <w:color w:val="404040"/>
              </w:rPr>
              <w:t>life companies</w:t>
            </w:r>
            <w:r w:rsidRPr="00CF3FF2">
              <w:rPr>
                <w:rFonts w:ascii="Century" w:hAnsi="Century"/>
                <w:color w:val="404040"/>
              </w:rPr>
              <w:t xml:space="preserve">. </w:t>
            </w:r>
            <w:r w:rsidR="003A7564" w:rsidRPr="00CF3FF2">
              <w:rPr>
                <w:rFonts w:ascii="Century" w:hAnsi="Century"/>
                <w:color w:val="404040"/>
              </w:rPr>
              <w:t>Furthermore,</w:t>
            </w:r>
            <w:r w:rsidRPr="00CF3FF2">
              <w:rPr>
                <w:rFonts w:ascii="Century" w:hAnsi="Century"/>
                <w:color w:val="404040"/>
              </w:rPr>
              <w:t xml:space="preserve"> the growth o</w:t>
            </w:r>
            <w:r w:rsidR="00D54945" w:rsidRPr="00CF3FF2">
              <w:rPr>
                <w:rFonts w:ascii="Century" w:hAnsi="Century"/>
                <w:color w:val="404040"/>
              </w:rPr>
              <w:t>f life/pension companies in 2007</w:t>
            </w:r>
            <w:r w:rsidRPr="00CF3FF2">
              <w:rPr>
                <w:rFonts w:ascii="Century" w:hAnsi="Century"/>
                <w:color w:val="404040"/>
              </w:rPr>
              <w:t xml:space="preserve"> has been </w:t>
            </w:r>
            <w:r w:rsidR="003A7564" w:rsidRPr="00CF3FF2">
              <w:rPr>
                <w:rFonts w:ascii="Century" w:hAnsi="Century"/>
                <w:color w:val="404040"/>
              </w:rPr>
              <w:t xml:space="preserve">higher than </w:t>
            </w:r>
            <w:r w:rsidRPr="00CF3FF2">
              <w:rPr>
                <w:rFonts w:ascii="Century" w:hAnsi="Century"/>
                <w:color w:val="404040"/>
              </w:rPr>
              <w:t xml:space="preserve">the growth rate of non-life companies </w:t>
            </w:r>
            <w:r w:rsidR="003A7564" w:rsidRPr="00CF3FF2">
              <w:rPr>
                <w:rFonts w:ascii="Century" w:hAnsi="Century"/>
                <w:color w:val="404040"/>
              </w:rPr>
              <w:t>through</w:t>
            </w:r>
            <w:r w:rsidRPr="00CF3FF2">
              <w:rPr>
                <w:rFonts w:ascii="Century" w:hAnsi="Century"/>
                <w:color w:val="404040"/>
              </w:rPr>
              <w:t xml:space="preserve"> private pension activities.</w:t>
            </w:r>
          </w:p>
          <w:p w:rsidR="00CA056C" w:rsidRPr="00CF3FF2" w:rsidRDefault="00CA056C" w:rsidP="008D17FE">
            <w:pPr>
              <w:rPr>
                <w:rFonts w:ascii="Century" w:hAnsi="Century"/>
                <w:color w:val="404040"/>
              </w:rPr>
            </w:pPr>
          </w:p>
          <w:p w:rsidR="00E349AA" w:rsidRPr="00CF3FF2" w:rsidRDefault="00E349AA" w:rsidP="008D17FE">
            <w:pPr>
              <w:rPr>
                <w:rFonts w:ascii="Century" w:hAnsi="Century"/>
                <w:color w:val="404040"/>
                <w:highlight w:val="yellow"/>
                <w:lang w:val="tr-TR"/>
              </w:rPr>
            </w:pPr>
          </w:p>
          <w:p w:rsidR="00E349AA" w:rsidRPr="00CF3FF2" w:rsidRDefault="00E349AA" w:rsidP="008D17FE">
            <w:pPr>
              <w:rPr>
                <w:rFonts w:ascii="Century" w:hAnsi="Century"/>
                <w:color w:val="404040"/>
                <w:highlight w:val="yellow"/>
                <w:lang w:val="tr-TR"/>
              </w:rPr>
            </w:pPr>
          </w:p>
          <w:p w:rsidR="00E349AA" w:rsidRPr="00CF3FF2" w:rsidRDefault="00E349AA" w:rsidP="008D17FE">
            <w:pPr>
              <w:rPr>
                <w:rFonts w:ascii="Century" w:hAnsi="Century"/>
                <w:color w:val="404040"/>
                <w:highlight w:val="yellow"/>
                <w:lang w:val="tr-TR"/>
              </w:rPr>
            </w:pPr>
          </w:p>
          <w:p w:rsidR="00AB220A" w:rsidRPr="00CF3FF2" w:rsidRDefault="00AB220A" w:rsidP="00E349AA">
            <w:pPr>
              <w:jc w:val="both"/>
              <w:rPr>
                <w:rFonts w:ascii="Century" w:hAnsi="Century"/>
                <w:color w:val="404040"/>
                <w:highlight w:val="yellow"/>
              </w:rPr>
            </w:pPr>
          </w:p>
          <w:p w:rsidR="00350749" w:rsidRDefault="00350749" w:rsidP="00E349AA">
            <w:pPr>
              <w:jc w:val="both"/>
              <w:rPr>
                <w:rFonts w:ascii="Century" w:hAnsi="Century"/>
                <w:color w:val="404040"/>
                <w:highlight w:val="yellow"/>
              </w:rPr>
            </w:pPr>
          </w:p>
          <w:p w:rsidR="00E70D98" w:rsidRPr="00CF3FF2" w:rsidRDefault="00E70D98" w:rsidP="00E349AA">
            <w:pPr>
              <w:jc w:val="both"/>
              <w:rPr>
                <w:rFonts w:ascii="Century" w:hAnsi="Century"/>
                <w:color w:val="404040"/>
                <w:highlight w:val="yellow"/>
              </w:rPr>
            </w:pPr>
          </w:p>
          <w:p w:rsidR="00E349AA" w:rsidRPr="00CF3FF2" w:rsidRDefault="00E349AA" w:rsidP="00E349AA">
            <w:pPr>
              <w:jc w:val="both"/>
              <w:rPr>
                <w:rFonts w:ascii="Century" w:hAnsi="Century"/>
                <w:color w:val="404040"/>
              </w:rPr>
            </w:pPr>
            <w:r w:rsidRPr="00CF3FF2">
              <w:rPr>
                <w:rFonts w:ascii="Century" w:hAnsi="Century"/>
                <w:color w:val="404040"/>
              </w:rPr>
              <w:lastRenderedPageBreak/>
              <w:t xml:space="preserve">It is seen that the concentration </w:t>
            </w:r>
            <w:r w:rsidR="00926016" w:rsidRPr="00CF3FF2">
              <w:rPr>
                <w:rFonts w:ascii="Century" w:hAnsi="Century"/>
                <w:color w:val="404040"/>
              </w:rPr>
              <w:t xml:space="preserve">indicators has increased </w:t>
            </w:r>
            <w:r w:rsidRPr="00CF3FF2">
              <w:rPr>
                <w:rFonts w:ascii="Century" w:hAnsi="Century"/>
                <w:color w:val="404040"/>
              </w:rPr>
              <w:t>in year</w:t>
            </w:r>
            <w:r w:rsidR="00926016" w:rsidRPr="00CF3FF2">
              <w:rPr>
                <w:rFonts w:ascii="Century" w:hAnsi="Century"/>
                <w:color w:val="404040"/>
              </w:rPr>
              <w:t xml:space="preserve"> 2007</w:t>
            </w:r>
            <w:r w:rsidRPr="00CF3FF2">
              <w:rPr>
                <w:rFonts w:ascii="Century" w:hAnsi="Century"/>
                <w:color w:val="404040"/>
              </w:rPr>
              <w:t xml:space="preserve">. Based on groups, it is observed that while </w:t>
            </w:r>
            <w:r w:rsidR="008F0D6C">
              <w:rPr>
                <w:rFonts w:ascii="Century" w:hAnsi="Century"/>
                <w:color w:val="404040"/>
              </w:rPr>
              <w:t>the concentration indicators</w:t>
            </w:r>
            <w:r w:rsidRPr="00CF3FF2">
              <w:rPr>
                <w:rFonts w:ascii="Century" w:hAnsi="Century"/>
                <w:color w:val="404040"/>
              </w:rPr>
              <w:t xml:space="preserve"> in non</w:t>
            </w:r>
            <w:r w:rsidR="00697D85" w:rsidRPr="00CF3FF2">
              <w:rPr>
                <w:rFonts w:ascii="Century" w:hAnsi="Century"/>
                <w:color w:val="404040"/>
              </w:rPr>
              <w:t xml:space="preserve"> </w:t>
            </w:r>
            <w:r w:rsidRPr="00CF3FF2">
              <w:rPr>
                <w:rFonts w:ascii="Century" w:hAnsi="Century"/>
                <w:color w:val="404040"/>
              </w:rPr>
              <w:t>–</w:t>
            </w:r>
            <w:r w:rsidR="00697D85" w:rsidRPr="00CF3FF2">
              <w:rPr>
                <w:rFonts w:ascii="Century" w:hAnsi="Century"/>
                <w:color w:val="404040"/>
              </w:rPr>
              <w:t xml:space="preserve"> </w:t>
            </w:r>
            <w:r w:rsidRPr="00CF3FF2">
              <w:rPr>
                <w:rFonts w:ascii="Century" w:hAnsi="Century"/>
                <w:color w:val="404040"/>
              </w:rPr>
              <w:t xml:space="preserve">life group has </w:t>
            </w:r>
            <w:r w:rsidR="002E0195" w:rsidRPr="00CF3FF2">
              <w:rPr>
                <w:rFonts w:ascii="Century" w:hAnsi="Century"/>
                <w:color w:val="404040"/>
              </w:rPr>
              <w:t>decreased</w:t>
            </w:r>
            <w:r w:rsidRPr="00CF3FF2">
              <w:rPr>
                <w:rFonts w:ascii="Century" w:hAnsi="Century"/>
                <w:color w:val="404040"/>
              </w:rPr>
              <w:t>,</w:t>
            </w:r>
            <w:r w:rsidR="008F0D6C">
              <w:rPr>
                <w:rFonts w:ascii="Century" w:hAnsi="Century"/>
                <w:color w:val="404040"/>
              </w:rPr>
              <w:t xml:space="preserve"> the concentration indicators</w:t>
            </w:r>
            <w:r w:rsidRPr="00CF3FF2">
              <w:rPr>
                <w:rFonts w:ascii="Century" w:hAnsi="Century"/>
                <w:color w:val="404040"/>
              </w:rPr>
              <w:t xml:space="preserve"> i</w:t>
            </w:r>
            <w:r w:rsidR="004B023B" w:rsidRPr="00CF3FF2">
              <w:rPr>
                <w:rFonts w:ascii="Century" w:hAnsi="Century"/>
                <w:color w:val="404040"/>
              </w:rPr>
              <w:t xml:space="preserve">n life/pension group </w:t>
            </w:r>
            <w:r w:rsidR="002E0195" w:rsidRPr="00CF3FF2">
              <w:rPr>
                <w:rFonts w:ascii="Century" w:hAnsi="Century"/>
                <w:color w:val="404040"/>
              </w:rPr>
              <w:t>increased</w:t>
            </w:r>
            <w:r w:rsidR="004B023B" w:rsidRPr="00CF3FF2">
              <w:rPr>
                <w:rFonts w:ascii="Century" w:hAnsi="Century"/>
                <w:color w:val="404040"/>
              </w:rPr>
              <w:t>.</w:t>
            </w:r>
          </w:p>
          <w:p w:rsidR="00E349AA" w:rsidRPr="00CF3FF2" w:rsidRDefault="00E349AA" w:rsidP="008D17FE">
            <w:pPr>
              <w:rPr>
                <w:rFonts w:ascii="Century" w:hAnsi="Century"/>
                <w:color w:val="404040"/>
                <w:highlight w:val="yellow"/>
                <w:lang w:val="tr-TR"/>
              </w:rPr>
            </w:pPr>
          </w:p>
          <w:p w:rsidR="002E0195" w:rsidRPr="00367FA3" w:rsidRDefault="002E0195" w:rsidP="008D17FE">
            <w:pPr>
              <w:rPr>
                <w:rFonts w:ascii="Century" w:hAnsi="Century"/>
                <w:highlight w:val="yellow"/>
                <w:lang w:val="tr-TR"/>
              </w:rPr>
            </w:pPr>
          </w:p>
        </w:tc>
      </w:tr>
      <w:tr w:rsidR="004649B1" w:rsidRPr="002E0195">
        <w:tc>
          <w:tcPr>
            <w:tcW w:w="9855" w:type="dxa"/>
            <w:gridSpan w:val="5"/>
          </w:tcPr>
          <w:p w:rsidR="004649B1" w:rsidRPr="002E0195" w:rsidRDefault="00563F7E" w:rsidP="00563F7E">
            <w:pPr>
              <w:pStyle w:val="ResimYazs"/>
              <w:rPr>
                <w:rFonts w:ascii="Century" w:hAnsi="Century"/>
                <w:b w:val="0"/>
                <w:i/>
                <w:lang w:val="tr-TR"/>
              </w:rPr>
            </w:pPr>
            <w:bookmarkStart w:id="30" w:name="_Toc170665528"/>
            <w:r>
              <w:rPr>
                <w:rFonts w:ascii="Century" w:hAnsi="Century"/>
                <w:lang w:val="tr-TR"/>
              </w:rPr>
              <w:lastRenderedPageBreak/>
              <w:t xml:space="preserve">  </w:t>
            </w:r>
            <w:r w:rsidR="004649B1" w:rsidRPr="002E0195">
              <w:rPr>
                <w:rFonts w:ascii="Century" w:hAnsi="Century"/>
                <w:lang w:val="tr-TR"/>
              </w:rPr>
              <w:t xml:space="preserve">Tablo </w:t>
            </w:r>
            <w:r w:rsidR="004649B1" w:rsidRPr="002E0195">
              <w:rPr>
                <w:rFonts w:ascii="Century" w:hAnsi="Century"/>
                <w:lang w:val="tr-TR"/>
              </w:rPr>
              <w:fldChar w:fldCharType="begin"/>
            </w:r>
            <w:r w:rsidR="004649B1" w:rsidRPr="002E0195">
              <w:rPr>
                <w:rFonts w:ascii="Century" w:hAnsi="Century"/>
                <w:lang w:val="tr-TR"/>
              </w:rPr>
              <w:instrText xml:space="preserve"> STYLEREF 2 \s </w:instrText>
            </w:r>
            <w:r w:rsidR="004649B1" w:rsidRPr="002E0195">
              <w:rPr>
                <w:rFonts w:ascii="Century" w:hAnsi="Century"/>
                <w:lang w:val="tr-TR"/>
              </w:rPr>
              <w:fldChar w:fldCharType="separate"/>
            </w:r>
            <w:r w:rsidR="00DA718E">
              <w:rPr>
                <w:rFonts w:ascii="Century" w:hAnsi="Century"/>
                <w:noProof/>
                <w:lang w:val="tr-TR"/>
              </w:rPr>
              <w:t>1.3</w:t>
            </w:r>
            <w:r w:rsidR="004649B1" w:rsidRPr="002E0195">
              <w:rPr>
                <w:rFonts w:ascii="Century" w:hAnsi="Century"/>
                <w:lang w:val="tr-TR"/>
              </w:rPr>
              <w:fldChar w:fldCharType="end"/>
            </w:r>
            <w:r w:rsidR="004649B1" w:rsidRPr="002E0195">
              <w:rPr>
                <w:rFonts w:ascii="Century" w:hAnsi="Century"/>
                <w:lang w:val="tr-TR"/>
              </w:rPr>
              <w:noBreakHyphen/>
            </w:r>
            <w:r w:rsidR="004649B1" w:rsidRPr="002E0195">
              <w:rPr>
                <w:rFonts w:ascii="Century" w:hAnsi="Century"/>
                <w:lang w:val="tr-TR"/>
              </w:rPr>
              <w:fldChar w:fldCharType="begin"/>
            </w:r>
            <w:r w:rsidR="004649B1" w:rsidRPr="002E0195">
              <w:rPr>
                <w:rFonts w:ascii="Century" w:hAnsi="Century"/>
                <w:lang w:val="tr-TR"/>
              </w:rPr>
              <w:instrText xml:space="preserve"> SEQ Tablo \* ARABIC \s 2 </w:instrText>
            </w:r>
            <w:r w:rsidR="004649B1" w:rsidRPr="002E0195">
              <w:rPr>
                <w:rFonts w:ascii="Century" w:hAnsi="Century"/>
                <w:lang w:val="tr-TR"/>
              </w:rPr>
              <w:fldChar w:fldCharType="separate"/>
            </w:r>
            <w:r w:rsidR="00DA718E">
              <w:rPr>
                <w:rFonts w:ascii="Century" w:hAnsi="Century"/>
                <w:noProof/>
                <w:lang w:val="tr-TR"/>
              </w:rPr>
              <w:t>3</w:t>
            </w:r>
            <w:r w:rsidR="004649B1" w:rsidRPr="002E0195">
              <w:rPr>
                <w:rFonts w:ascii="Century" w:hAnsi="Century"/>
                <w:lang w:val="tr-TR"/>
              </w:rPr>
              <w:fldChar w:fldCharType="end"/>
            </w:r>
            <w:r w:rsidR="004649B1" w:rsidRPr="002E0195">
              <w:rPr>
                <w:rFonts w:ascii="Century" w:hAnsi="Century"/>
                <w:lang w:val="tr-TR"/>
              </w:rPr>
              <w:t>;</w:t>
            </w:r>
            <w:r w:rsidR="004649B1" w:rsidRPr="002E0195">
              <w:rPr>
                <w:rFonts w:ascii="Century" w:hAnsi="Century"/>
                <w:bCs w:val="0"/>
                <w:lang w:val="tr-TR"/>
              </w:rPr>
              <w:t>Varlık Toplamına Göre Yoğunlaşma Göstergeleri-</w:t>
            </w:r>
            <w:r w:rsidR="004649B1" w:rsidRPr="002E0195">
              <w:rPr>
                <w:rFonts w:ascii="Century" w:hAnsi="Century"/>
                <w:b w:val="0"/>
                <w:bCs w:val="0"/>
                <w:i/>
                <w:lang w:val="tr-TR"/>
              </w:rPr>
              <w:t>Concentration Indicators by Assets</w:t>
            </w:r>
            <w:bookmarkEnd w:id="30"/>
          </w:p>
          <w:p w:rsidR="004649B1" w:rsidRPr="0017080F" w:rsidRDefault="0017080F" w:rsidP="00DA0F8C">
            <w:pPr>
              <w:jc w:val="center"/>
              <w:rPr>
                <w:rFonts w:ascii="Century" w:hAnsi="Century"/>
                <w:sz w:val="20"/>
                <w:szCs w:val="20"/>
                <w:lang w:val="tr-TR"/>
              </w:rPr>
            </w:pPr>
            <w:r w:rsidRPr="0017080F">
              <w:rPr>
                <w:rFonts w:ascii="Century" w:hAnsi="Century"/>
                <w:sz w:val="20"/>
                <w:szCs w:val="20"/>
                <w:lang w:val="tr-TR"/>
              </w:rPr>
              <w:pict>
                <v:shape id="_x0000_i1035" type="#_x0000_t75" style="width:468.75pt;height:159pt">
                  <v:imagedata r:id="rId25" o:title=""/>
                </v:shape>
              </w:pict>
            </w:r>
          </w:p>
          <w:p w:rsidR="00FE366D" w:rsidRDefault="00FE366D" w:rsidP="008D17FE">
            <w:pPr>
              <w:rPr>
                <w:rFonts w:ascii="Century" w:hAnsi="Century"/>
                <w:lang w:val="tr-TR"/>
              </w:rPr>
            </w:pPr>
          </w:p>
          <w:p w:rsidR="00D73638" w:rsidRPr="002E0195" w:rsidRDefault="00D73638" w:rsidP="008D17FE">
            <w:pPr>
              <w:rPr>
                <w:rFonts w:ascii="Century" w:hAnsi="Century"/>
                <w:lang w:val="tr-TR"/>
              </w:rPr>
            </w:pPr>
          </w:p>
        </w:tc>
      </w:tr>
      <w:tr w:rsidR="004649B1" w:rsidRPr="00367FA3">
        <w:tc>
          <w:tcPr>
            <w:tcW w:w="4815" w:type="dxa"/>
            <w:gridSpan w:val="2"/>
          </w:tcPr>
          <w:p w:rsidR="004649B1" w:rsidRPr="00C8131A" w:rsidRDefault="004649B1" w:rsidP="00D15063">
            <w:pPr>
              <w:pStyle w:val="Balk4"/>
              <w:keepNext w:val="0"/>
              <w:numPr>
                <w:ilvl w:val="0"/>
                <w:numId w:val="10"/>
              </w:numPr>
              <w:spacing w:before="0" w:after="0"/>
              <w:ind w:left="357" w:firstLine="0"/>
              <w:rPr>
                <w:rFonts w:ascii="Century" w:hAnsi="Century"/>
                <w:sz w:val="24"/>
                <w:szCs w:val="24"/>
                <w:lang w:val="tr-TR"/>
              </w:rPr>
            </w:pPr>
            <w:bookmarkStart w:id="31" w:name="_Toc198287695"/>
            <w:bookmarkStart w:id="32" w:name="_Toc199251241"/>
            <w:r w:rsidRPr="00C8131A">
              <w:rPr>
                <w:rFonts w:ascii="Century" w:hAnsi="Century"/>
                <w:sz w:val="24"/>
                <w:szCs w:val="24"/>
                <w:lang w:val="tr-TR"/>
              </w:rPr>
              <w:t>Prim Üretimine Göre Yoğunlaşma Göstergeleri</w:t>
            </w:r>
            <w:bookmarkEnd w:id="31"/>
            <w:bookmarkEnd w:id="32"/>
          </w:p>
          <w:p w:rsidR="004649B1" w:rsidRPr="00607396" w:rsidRDefault="004649B1" w:rsidP="008D17FE">
            <w:pPr>
              <w:jc w:val="both"/>
              <w:rPr>
                <w:rFonts w:ascii="Century" w:hAnsi="Century"/>
                <w:sz w:val="16"/>
                <w:szCs w:val="16"/>
                <w:lang w:val="tr-TR"/>
              </w:rPr>
            </w:pPr>
          </w:p>
          <w:p w:rsidR="004649B1" w:rsidRDefault="00D40346" w:rsidP="008D17FE">
            <w:pPr>
              <w:jc w:val="both"/>
              <w:rPr>
                <w:rFonts w:ascii="Century" w:hAnsi="Century"/>
                <w:lang w:val="tr-TR"/>
              </w:rPr>
            </w:pPr>
            <w:r w:rsidRPr="00C8131A">
              <w:rPr>
                <w:rFonts w:ascii="Century" w:hAnsi="Century"/>
                <w:lang w:val="tr-TR"/>
              </w:rPr>
              <w:t xml:space="preserve">Sanayileşmiş </w:t>
            </w:r>
            <w:r w:rsidR="004649B1" w:rsidRPr="00C8131A">
              <w:rPr>
                <w:rFonts w:ascii="Century" w:hAnsi="Century"/>
                <w:lang w:val="tr-TR"/>
              </w:rPr>
              <w:t>ülkeler</w:t>
            </w:r>
            <w:r w:rsidR="00C03E2D" w:rsidRPr="00C8131A">
              <w:rPr>
                <w:rFonts w:ascii="Century" w:hAnsi="Century"/>
                <w:lang w:val="tr-TR"/>
              </w:rPr>
              <w:t>le</w:t>
            </w:r>
            <w:r w:rsidR="004649B1" w:rsidRPr="00C8131A">
              <w:rPr>
                <w:rFonts w:ascii="Century" w:hAnsi="Century"/>
                <w:lang w:val="tr-TR"/>
              </w:rPr>
              <w:t xml:space="preserve"> karşılaştırıldı</w:t>
            </w:r>
            <w:r w:rsidR="00140F46" w:rsidRPr="00C8131A">
              <w:rPr>
                <w:rFonts w:ascii="Century" w:hAnsi="Century"/>
                <w:lang w:val="tr-TR"/>
              </w:rPr>
              <w:t>-</w:t>
            </w:r>
            <w:r w:rsidR="004649B1" w:rsidRPr="00C8131A">
              <w:rPr>
                <w:rFonts w:ascii="Century" w:hAnsi="Century"/>
                <w:lang w:val="tr-TR"/>
              </w:rPr>
              <w:t>ğında, prim üretimin</w:t>
            </w:r>
            <w:r w:rsidR="00C03E2D" w:rsidRPr="00C8131A">
              <w:rPr>
                <w:rFonts w:ascii="Century" w:hAnsi="Century"/>
                <w:lang w:val="tr-TR"/>
              </w:rPr>
              <w:t>e göre</w:t>
            </w:r>
            <w:r w:rsidR="004649B1" w:rsidRPr="00C8131A">
              <w:rPr>
                <w:rFonts w:ascii="Century" w:hAnsi="Century"/>
                <w:lang w:val="tr-TR"/>
              </w:rPr>
              <w:t xml:space="preserve"> Türkiye’de hayat dışı sigortacılığın hayat sigortacılığından daha etkin olduğu görülmektedir. 200</w:t>
            </w:r>
            <w:r w:rsidR="00C8131A" w:rsidRPr="00C8131A">
              <w:rPr>
                <w:rFonts w:ascii="Century" w:hAnsi="Century"/>
                <w:lang w:val="tr-TR"/>
              </w:rPr>
              <w:t>6</w:t>
            </w:r>
            <w:r w:rsidR="004649B1" w:rsidRPr="00C8131A">
              <w:rPr>
                <w:rFonts w:ascii="Century" w:hAnsi="Century"/>
                <w:lang w:val="tr-TR"/>
              </w:rPr>
              <w:t xml:space="preserve"> yılında toplam prim üretiminin %</w:t>
            </w:r>
            <w:r w:rsidR="0042127E" w:rsidRPr="00C8131A">
              <w:rPr>
                <w:rFonts w:ascii="Century" w:hAnsi="Century"/>
                <w:lang w:val="tr-TR"/>
              </w:rPr>
              <w:t xml:space="preserve"> </w:t>
            </w:r>
            <w:r w:rsidR="004649B1" w:rsidRPr="00C8131A">
              <w:rPr>
                <w:rFonts w:ascii="Century" w:hAnsi="Century"/>
                <w:lang w:val="tr-TR"/>
              </w:rPr>
              <w:t>8</w:t>
            </w:r>
            <w:r w:rsidR="00C8131A" w:rsidRPr="00C8131A">
              <w:rPr>
                <w:rFonts w:ascii="Century" w:hAnsi="Century"/>
                <w:lang w:val="tr-TR"/>
              </w:rPr>
              <w:t>2</w:t>
            </w:r>
            <w:r w:rsidR="004649B1" w:rsidRPr="00C8131A">
              <w:rPr>
                <w:rFonts w:ascii="Century" w:hAnsi="Century"/>
                <w:lang w:val="tr-TR"/>
              </w:rPr>
              <w:t>’si hayat dışı sigorta şirketlerine ait iken, 200</w:t>
            </w:r>
            <w:r w:rsidR="00C8131A" w:rsidRPr="00C8131A">
              <w:rPr>
                <w:rFonts w:ascii="Century" w:hAnsi="Century"/>
                <w:lang w:val="tr-TR"/>
              </w:rPr>
              <w:t>7</w:t>
            </w:r>
            <w:r w:rsidR="004649B1" w:rsidRPr="00C8131A">
              <w:rPr>
                <w:rFonts w:ascii="Century" w:hAnsi="Century"/>
                <w:lang w:val="tr-TR"/>
              </w:rPr>
              <w:t xml:space="preserve"> yılında bu oran %</w:t>
            </w:r>
            <w:r w:rsidR="0042127E" w:rsidRPr="00C8131A">
              <w:rPr>
                <w:rFonts w:ascii="Century" w:hAnsi="Century"/>
                <w:lang w:val="tr-TR"/>
              </w:rPr>
              <w:t xml:space="preserve"> </w:t>
            </w:r>
            <w:r w:rsidR="004649B1" w:rsidRPr="00C8131A">
              <w:rPr>
                <w:rFonts w:ascii="Century" w:hAnsi="Century"/>
                <w:lang w:val="tr-TR"/>
              </w:rPr>
              <w:t>8</w:t>
            </w:r>
            <w:r w:rsidR="00C8131A" w:rsidRPr="00C8131A">
              <w:rPr>
                <w:rFonts w:ascii="Century" w:hAnsi="Century"/>
                <w:lang w:val="tr-TR"/>
              </w:rPr>
              <w:t>4</w:t>
            </w:r>
            <w:r w:rsidR="004649B1" w:rsidRPr="00C8131A">
              <w:rPr>
                <w:rFonts w:ascii="Century" w:hAnsi="Century"/>
                <w:lang w:val="tr-TR"/>
              </w:rPr>
              <w:t>’e yükselmiştir. 2004 yılından itibaren hayat sigorta şirketlerinin üretim payındaki azalışta</w:t>
            </w:r>
            <w:r w:rsidRPr="00C8131A">
              <w:rPr>
                <w:rFonts w:ascii="Century" w:hAnsi="Century"/>
                <w:lang w:val="tr-TR"/>
              </w:rPr>
              <w:t>,</w:t>
            </w:r>
            <w:r w:rsidR="004649B1" w:rsidRPr="00C8131A">
              <w:rPr>
                <w:rFonts w:ascii="Century" w:hAnsi="Century"/>
                <w:lang w:val="tr-TR"/>
              </w:rPr>
              <w:t xml:space="preserve"> bireysel emeklilik faaliyetlerine ağırlık verilmesi ve hayat sigortasından bireysel emeklilik sistemine geçişler etkili olmuştur. </w:t>
            </w:r>
          </w:p>
          <w:p w:rsidR="00B3298E" w:rsidRDefault="00B3298E" w:rsidP="008D17FE">
            <w:pPr>
              <w:jc w:val="both"/>
              <w:rPr>
                <w:rFonts w:ascii="Century" w:hAnsi="Century"/>
                <w:lang w:val="tr-TR"/>
              </w:rPr>
            </w:pPr>
          </w:p>
          <w:p w:rsidR="00D73638" w:rsidRPr="00C31734" w:rsidRDefault="00D73638" w:rsidP="00D73638">
            <w:pPr>
              <w:jc w:val="both"/>
              <w:rPr>
                <w:rFonts w:ascii="Century" w:hAnsi="Century"/>
                <w:lang w:val="tr-TR"/>
              </w:rPr>
            </w:pPr>
            <w:r w:rsidRPr="00C31734">
              <w:rPr>
                <w:rFonts w:ascii="Century" w:hAnsi="Century"/>
                <w:lang w:val="tr-TR"/>
              </w:rPr>
              <w:t>Hayat – hayat dışı branş ayrımında direkt prim üretiminin son on yıllık seyri nominal ve reel olarak aşağıda grafik olarak gösterilmiştir.</w:t>
            </w:r>
          </w:p>
          <w:p w:rsidR="00D73638" w:rsidRPr="00C31734" w:rsidRDefault="00D73638" w:rsidP="00D73638">
            <w:pPr>
              <w:rPr>
                <w:rFonts w:ascii="Century" w:hAnsi="Century"/>
                <w:lang w:val="tr-TR"/>
              </w:rPr>
            </w:pPr>
          </w:p>
          <w:p w:rsidR="00D73638" w:rsidRDefault="00D73638" w:rsidP="00D73638">
            <w:pPr>
              <w:rPr>
                <w:rFonts w:ascii="Century" w:hAnsi="Century"/>
                <w:highlight w:val="yellow"/>
                <w:lang w:val="tr-TR"/>
              </w:rPr>
            </w:pPr>
          </w:p>
          <w:p w:rsidR="008F0D6C" w:rsidRDefault="008F0D6C" w:rsidP="00D73638">
            <w:pPr>
              <w:rPr>
                <w:rFonts w:ascii="Century" w:hAnsi="Century"/>
                <w:highlight w:val="yellow"/>
                <w:lang w:val="tr-TR"/>
              </w:rPr>
            </w:pPr>
          </w:p>
          <w:p w:rsidR="00B3298E" w:rsidRDefault="00B3298E" w:rsidP="008D17FE">
            <w:pPr>
              <w:jc w:val="both"/>
              <w:rPr>
                <w:rFonts w:ascii="Century" w:hAnsi="Century"/>
                <w:lang w:val="tr-TR"/>
              </w:rPr>
            </w:pPr>
          </w:p>
          <w:p w:rsidR="00FE366D" w:rsidRPr="00607396" w:rsidRDefault="00FE366D" w:rsidP="008D17FE">
            <w:pPr>
              <w:rPr>
                <w:rFonts w:ascii="Century" w:hAnsi="Century"/>
                <w:sz w:val="16"/>
                <w:szCs w:val="16"/>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31197A" w:rsidRPr="00CF3FF2" w:rsidRDefault="00B57A8F" w:rsidP="00B57A8F">
            <w:pPr>
              <w:ind w:left="357"/>
              <w:rPr>
                <w:rFonts w:ascii="Century" w:hAnsi="Century"/>
                <w:b/>
                <w:color w:val="404040"/>
                <w:highlight w:val="yellow"/>
                <w:lang w:val="tr-TR"/>
              </w:rPr>
            </w:pPr>
            <w:r w:rsidRPr="00CF3FF2">
              <w:rPr>
                <w:rFonts w:ascii="Century" w:hAnsi="Century"/>
                <w:b/>
                <w:color w:val="404040"/>
                <w:lang w:val="tr-TR"/>
              </w:rPr>
              <w:t xml:space="preserve">B. </w:t>
            </w:r>
            <w:r w:rsidR="00B3338D" w:rsidRPr="00CF3FF2">
              <w:rPr>
                <w:rFonts w:ascii="Century" w:hAnsi="Century"/>
                <w:b/>
                <w:color w:val="404040"/>
                <w:lang w:val="tr-TR"/>
              </w:rPr>
              <w:t>Concentration Indicators Premium Volume</w:t>
            </w:r>
          </w:p>
          <w:p w:rsidR="004649B1" w:rsidRPr="00CF3FF2" w:rsidRDefault="004649B1" w:rsidP="008D17FE">
            <w:pPr>
              <w:rPr>
                <w:rFonts w:ascii="Century" w:hAnsi="Century"/>
                <w:color w:val="404040"/>
                <w:sz w:val="16"/>
                <w:szCs w:val="16"/>
                <w:highlight w:val="yellow"/>
                <w:lang w:val="tr-TR"/>
              </w:rPr>
            </w:pPr>
          </w:p>
          <w:p w:rsidR="00B47CE9" w:rsidRPr="00CF3FF2" w:rsidRDefault="00B47CE9" w:rsidP="00B47CE9">
            <w:pPr>
              <w:jc w:val="both"/>
              <w:rPr>
                <w:rFonts w:ascii="Century" w:hAnsi="Century"/>
                <w:color w:val="404040"/>
              </w:rPr>
            </w:pPr>
            <w:r w:rsidRPr="00CF3FF2">
              <w:rPr>
                <w:rFonts w:ascii="Century" w:hAnsi="Century"/>
                <w:color w:val="404040"/>
              </w:rPr>
              <w:t>Non</w:t>
            </w:r>
            <w:r w:rsidR="00AB220A" w:rsidRPr="00CF3FF2">
              <w:rPr>
                <w:rFonts w:ascii="Century" w:hAnsi="Century"/>
                <w:color w:val="404040"/>
              </w:rPr>
              <w:t>-</w:t>
            </w:r>
            <w:r w:rsidRPr="00CF3FF2">
              <w:rPr>
                <w:rFonts w:ascii="Century" w:hAnsi="Century"/>
                <w:color w:val="404040"/>
              </w:rPr>
              <w:t xml:space="preserve">life insurance is more active than life insurance in terms of premium volume in </w:t>
            </w:r>
            <w:smartTag w:uri="urn:schemas-microsoft-com:office:smarttags" w:element="place">
              <w:smartTag w:uri="urn:schemas-microsoft-com:office:smarttags" w:element="country-region">
                <w:r w:rsidRPr="00CF3FF2">
                  <w:rPr>
                    <w:rFonts w:ascii="Century" w:hAnsi="Century"/>
                    <w:color w:val="404040"/>
                  </w:rPr>
                  <w:t>Turkey</w:t>
                </w:r>
              </w:smartTag>
            </w:smartTag>
            <w:r w:rsidRPr="00CF3FF2">
              <w:rPr>
                <w:rFonts w:ascii="Century" w:hAnsi="Century"/>
                <w:color w:val="404040"/>
              </w:rPr>
              <w:t xml:space="preserve"> as compared to industrial countries. 84% </w:t>
            </w:r>
            <w:r w:rsidR="0010748F" w:rsidRPr="00CF3FF2">
              <w:rPr>
                <w:rFonts w:ascii="Century" w:hAnsi="Century"/>
                <w:color w:val="404040"/>
              </w:rPr>
              <w:t>o</w:t>
            </w:r>
            <w:r w:rsidRPr="00CF3FF2">
              <w:rPr>
                <w:rFonts w:ascii="Century" w:hAnsi="Century"/>
                <w:color w:val="404040"/>
              </w:rPr>
              <w:t>f total premium volume belonged to non–l</w:t>
            </w:r>
            <w:r w:rsidR="00C03E2D" w:rsidRPr="00CF3FF2">
              <w:rPr>
                <w:rFonts w:ascii="Century" w:hAnsi="Century"/>
                <w:color w:val="404040"/>
              </w:rPr>
              <w:t>ife insurance companies in 200</w:t>
            </w:r>
            <w:r w:rsidR="00C8131A" w:rsidRPr="00CF3FF2">
              <w:rPr>
                <w:rFonts w:ascii="Century" w:hAnsi="Century"/>
                <w:color w:val="404040"/>
              </w:rPr>
              <w:t>7</w:t>
            </w:r>
            <w:r w:rsidR="00140F46" w:rsidRPr="00CF3FF2">
              <w:rPr>
                <w:rFonts w:ascii="Century" w:hAnsi="Century"/>
                <w:color w:val="404040"/>
              </w:rPr>
              <w:t xml:space="preserve"> and</w:t>
            </w:r>
            <w:r w:rsidRPr="00CF3FF2">
              <w:rPr>
                <w:rFonts w:ascii="Century" w:hAnsi="Century"/>
                <w:color w:val="404040"/>
              </w:rPr>
              <w:t xml:space="preserve"> this ratio was 8</w:t>
            </w:r>
            <w:r w:rsidR="00C8131A" w:rsidRPr="00CF3FF2">
              <w:rPr>
                <w:rFonts w:ascii="Century" w:hAnsi="Century"/>
                <w:color w:val="404040"/>
              </w:rPr>
              <w:t>2</w:t>
            </w:r>
            <w:r w:rsidRPr="00CF3FF2">
              <w:rPr>
                <w:rFonts w:ascii="Century" w:hAnsi="Century"/>
                <w:color w:val="404040"/>
              </w:rPr>
              <w:t>% in previous year. Since 2004 premium volume of life insurance companies has decreased because of the private pension</w:t>
            </w:r>
            <w:r w:rsidR="004B023B" w:rsidRPr="00CF3FF2">
              <w:rPr>
                <w:rFonts w:ascii="Century" w:hAnsi="Century"/>
                <w:color w:val="404040"/>
              </w:rPr>
              <w:t xml:space="preserve"> activities and </w:t>
            </w:r>
            <w:r w:rsidR="00EA5DF3" w:rsidRPr="00CF3FF2">
              <w:rPr>
                <w:rFonts w:ascii="Century" w:hAnsi="Century"/>
                <w:color w:val="404040"/>
              </w:rPr>
              <w:t>transfer</w:t>
            </w:r>
            <w:r w:rsidR="004B023B" w:rsidRPr="00CF3FF2">
              <w:rPr>
                <w:rFonts w:ascii="Century" w:hAnsi="Century"/>
                <w:color w:val="404040"/>
              </w:rPr>
              <w:t xml:space="preserve">s from life portfolio to pension system. </w:t>
            </w:r>
          </w:p>
          <w:p w:rsidR="00D73638" w:rsidRPr="00CF3FF2" w:rsidRDefault="00D73638" w:rsidP="00D73638">
            <w:pPr>
              <w:jc w:val="both"/>
              <w:rPr>
                <w:rFonts w:ascii="Century" w:hAnsi="Century"/>
                <w:color w:val="404040"/>
              </w:rPr>
            </w:pPr>
          </w:p>
          <w:p w:rsidR="00D73638" w:rsidRPr="00CF3FF2" w:rsidRDefault="00D73638" w:rsidP="00D73638">
            <w:pPr>
              <w:jc w:val="both"/>
              <w:rPr>
                <w:rFonts w:ascii="Century" w:hAnsi="Century"/>
                <w:color w:val="404040"/>
              </w:rPr>
            </w:pPr>
          </w:p>
          <w:p w:rsidR="00D73638" w:rsidRPr="00CF3FF2" w:rsidRDefault="00D73638" w:rsidP="00D73638">
            <w:pPr>
              <w:jc w:val="both"/>
              <w:rPr>
                <w:rFonts w:ascii="Century" w:hAnsi="Century"/>
                <w:color w:val="404040"/>
              </w:rPr>
            </w:pPr>
          </w:p>
          <w:p w:rsidR="00D73638" w:rsidRPr="00CF3FF2" w:rsidRDefault="00D73638" w:rsidP="00D73638">
            <w:pPr>
              <w:jc w:val="both"/>
              <w:rPr>
                <w:rFonts w:ascii="Century" w:hAnsi="Century"/>
                <w:color w:val="404040"/>
              </w:rPr>
            </w:pPr>
            <w:r w:rsidRPr="00CF3FF2">
              <w:rPr>
                <w:rFonts w:ascii="Century" w:hAnsi="Century"/>
                <w:color w:val="404040"/>
              </w:rPr>
              <w:t>The growth rates of direct premium volume as nominal and real for the last ten years in terms of life and non–life branches are shown in the figure below.</w:t>
            </w:r>
          </w:p>
          <w:p w:rsidR="0031197A" w:rsidRPr="00367FA3" w:rsidRDefault="0031197A" w:rsidP="008D17FE">
            <w:pPr>
              <w:rPr>
                <w:rFonts w:ascii="Century" w:hAnsi="Century"/>
                <w:highlight w:val="yellow"/>
                <w:lang w:val="tr-TR"/>
              </w:rPr>
            </w:pPr>
          </w:p>
        </w:tc>
      </w:tr>
      <w:tr w:rsidR="004649B1" w:rsidRPr="00367FA3">
        <w:tc>
          <w:tcPr>
            <w:tcW w:w="9855" w:type="dxa"/>
            <w:gridSpan w:val="5"/>
          </w:tcPr>
          <w:p w:rsidR="00D73638" w:rsidRPr="00B764E5" w:rsidRDefault="00D73638" w:rsidP="00D73638">
            <w:pPr>
              <w:pStyle w:val="ResimYazs"/>
              <w:jc w:val="center"/>
              <w:rPr>
                <w:rFonts w:ascii="Century" w:hAnsi="Century"/>
                <w:b w:val="0"/>
                <w:i/>
                <w:lang w:val="tr-TR"/>
              </w:rPr>
            </w:pPr>
            <w:bookmarkStart w:id="33" w:name="_Toc170665529"/>
            <w:r w:rsidRPr="00B764E5">
              <w:rPr>
                <w:rFonts w:ascii="Century" w:hAnsi="Century"/>
                <w:lang w:val="tr-TR"/>
              </w:rPr>
              <w:lastRenderedPageBreak/>
              <w:t>Grafik 1.5</w:t>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DA718E">
              <w:rPr>
                <w:rFonts w:ascii="Century" w:hAnsi="Century"/>
                <w:noProof/>
                <w:lang w:val="tr-TR"/>
              </w:rPr>
              <w:t>1</w:t>
            </w:r>
            <w:r w:rsidRPr="00B764E5">
              <w:rPr>
                <w:rFonts w:ascii="Century" w:hAnsi="Century"/>
                <w:lang w:val="tr-TR"/>
              </w:rPr>
              <w:fldChar w:fldCharType="end"/>
            </w:r>
            <w:r w:rsidRPr="00B764E5">
              <w:rPr>
                <w:rFonts w:ascii="Century" w:hAnsi="Century"/>
                <w:lang w:val="tr-TR"/>
              </w:rPr>
              <w:t xml:space="preserve">; Prim Artış Oranları – </w:t>
            </w:r>
            <w:r w:rsidRPr="00B764E5">
              <w:rPr>
                <w:rFonts w:ascii="Century" w:hAnsi="Century"/>
                <w:b w:val="0"/>
                <w:i/>
                <w:lang w:val="tr-TR"/>
              </w:rPr>
              <w:t>Growth Rates of Premium</w:t>
            </w:r>
          </w:p>
          <w:p w:rsidR="00D73638" w:rsidRDefault="00D73638" w:rsidP="008D17FE">
            <w:pPr>
              <w:pStyle w:val="ResimYazs"/>
              <w:rPr>
                <w:rFonts w:ascii="Century" w:hAnsi="Century"/>
                <w:lang w:val="tr-TR"/>
              </w:rPr>
            </w:pPr>
          </w:p>
          <w:p w:rsidR="00D73638" w:rsidRPr="00B764E5" w:rsidRDefault="00B764E5" w:rsidP="00D73638">
            <w:pPr>
              <w:pStyle w:val="ResimYazs"/>
              <w:jc w:val="center"/>
              <w:rPr>
                <w:rFonts w:ascii="Century" w:hAnsi="Century"/>
                <w:lang w:val="tr-TR"/>
              </w:rPr>
            </w:pPr>
            <w:r w:rsidRPr="00B764E5">
              <w:rPr>
                <w:rFonts w:ascii="Century" w:hAnsi="Century"/>
                <w:lang w:val="tr-TR"/>
              </w:rPr>
              <w:pict>
                <v:shape id="_x0000_i1036" type="#_x0000_t75" style="width:453pt;height:252pt">
                  <v:imagedata r:id="rId26" o:title=""/>
                </v:shape>
              </w:pict>
            </w:r>
          </w:p>
          <w:p w:rsidR="00D73638" w:rsidRDefault="00D73638" w:rsidP="008D17FE">
            <w:pPr>
              <w:pStyle w:val="ResimYazs"/>
              <w:rPr>
                <w:rFonts w:ascii="Century" w:hAnsi="Century"/>
                <w:lang w:val="tr-TR"/>
              </w:rPr>
            </w:pPr>
          </w:p>
          <w:tbl>
            <w:tblPr>
              <w:tblW w:w="9855" w:type="dxa"/>
              <w:tblLayout w:type="fixed"/>
              <w:tblLook w:val="04A0" w:firstRow="1" w:lastRow="0" w:firstColumn="1" w:lastColumn="0" w:noHBand="0" w:noVBand="1"/>
            </w:tblPr>
            <w:tblGrid>
              <w:gridCol w:w="4815"/>
              <w:gridCol w:w="236"/>
              <w:gridCol w:w="4804"/>
            </w:tblGrid>
            <w:tr w:rsidR="00D73638" w:rsidRPr="00367FA3">
              <w:tc>
                <w:tcPr>
                  <w:tcW w:w="4815" w:type="dxa"/>
                </w:tcPr>
                <w:p w:rsidR="00D73638" w:rsidRPr="00C8131A" w:rsidRDefault="00D73638" w:rsidP="00D73638">
                  <w:pPr>
                    <w:jc w:val="both"/>
                    <w:rPr>
                      <w:rFonts w:ascii="Century" w:hAnsi="Century"/>
                      <w:lang w:val="tr-TR"/>
                    </w:rPr>
                  </w:pPr>
                  <w:r w:rsidRPr="00C8131A">
                    <w:rPr>
                      <w:rFonts w:ascii="Century" w:hAnsi="Century"/>
                      <w:lang w:val="tr-TR"/>
                    </w:rPr>
                    <w:t xml:space="preserve">Prim üretiminin gruplara göre ayrımı incelendiğinde, </w:t>
                  </w:r>
                  <w:r>
                    <w:rPr>
                      <w:rFonts w:ascii="Century" w:hAnsi="Century"/>
                      <w:lang w:val="tr-TR"/>
                    </w:rPr>
                    <w:t xml:space="preserve">son beş yıllık süreçte </w:t>
                  </w:r>
                  <w:r w:rsidRPr="00C8131A">
                    <w:rPr>
                      <w:rFonts w:ascii="Century" w:hAnsi="Century"/>
                      <w:lang w:val="tr-TR"/>
                    </w:rPr>
                    <w:t>hayat dışı şirketlerin üretim yoğunluk</w:t>
                  </w:r>
                  <w:r>
                    <w:rPr>
                      <w:rFonts w:ascii="Century" w:hAnsi="Century"/>
                      <w:lang w:val="tr-TR"/>
                    </w:rPr>
                    <w:t>-</w:t>
                  </w:r>
                  <w:r w:rsidRPr="00C8131A">
                    <w:rPr>
                      <w:rFonts w:ascii="Century" w:hAnsi="Century"/>
                      <w:lang w:val="tr-TR"/>
                    </w:rPr>
                    <w:t xml:space="preserve">larında </w:t>
                  </w:r>
                  <w:r>
                    <w:rPr>
                      <w:rFonts w:ascii="Century" w:hAnsi="Century"/>
                      <w:lang w:val="tr-TR"/>
                    </w:rPr>
                    <w:t>önemli</w:t>
                  </w:r>
                  <w:r w:rsidRPr="00C8131A">
                    <w:rPr>
                      <w:rFonts w:ascii="Century" w:hAnsi="Century"/>
                      <w:lang w:val="tr-TR"/>
                    </w:rPr>
                    <w:t xml:space="preserve"> bir değişiklik yaşanmaz</w:t>
                  </w:r>
                  <w:r>
                    <w:rPr>
                      <w:rFonts w:ascii="Century" w:hAnsi="Century"/>
                      <w:lang w:val="tr-TR"/>
                    </w:rPr>
                    <w:t xml:space="preserve"> i</w:t>
                  </w:r>
                  <w:r w:rsidRPr="00C8131A">
                    <w:rPr>
                      <w:rFonts w:ascii="Century" w:hAnsi="Century"/>
                      <w:lang w:val="tr-TR"/>
                    </w:rPr>
                    <w:t xml:space="preserve">ken, </w:t>
                  </w:r>
                  <w:r w:rsidR="00F963D1" w:rsidRPr="00C8131A">
                    <w:rPr>
                      <w:rFonts w:ascii="Century" w:hAnsi="Century"/>
                      <w:lang w:val="tr-TR"/>
                    </w:rPr>
                    <w:t>hayat şirketlerin</w:t>
                  </w:r>
                  <w:r w:rsidR="00F963D1">
                    <w:rPr>
                      <w:rFonts w:ascii="Century" w:hAnsi="Century"/>
                      <w:lang w:val="tr-TR"/>
                    </w:rPr>
                    <w:t xml:space="preserve">in üretim yoğunluğunda </w:t>
                  </w:r>
                  <w:r w:rsidRPr="00C8131A">
                    <w:rPr>
                      <w:rFonts w:ascii="Century" w:hAnsi="Century"/>
                      <w:lang w:val="tr-TR"/>
                    </w:rPr>
                    <w:t>200</w:t>
                  </w:r>
                  <w:r w:rsidR="008F0D6C">
                    <w:rPr>
                      <w:rFonts w:ascii="Century" w:hAnsi="Century"/>
                      <w:lang w:val="tr-TR"/>
                    </w:rPr>
                    <w:t>6</w:t>
                  </w:r>
                  <w:r>
                    <w:rPr>
                      <w:rFonts w:ascii="Century" w:hAnsi="Century"/>
                      <w:lang w:val="tr-TR"/>
                    </w:rPr>
                    <w:t xml:space="preserve"> yılın</w:t>
                  </w:r>
                  <w:r w:rsidR="008F0D6C">
                    <w:rPr>
                      <w:rFonts w:ascii="Century" w:hAnsi="Century"/>
                      <w:lang w:val="tr-TR"/>
                    </w:rPr>
                    <w:t xml:space="preserve">a </w:t>
                  </w:r>
                  <w:r w:rsidR="00C671BB">
                    <w:rPr>
                      <w:rFonts w:ascii="Century" w:hAnsi="Century"/>
                      <w:lang w:val="tr-TR"/>
                    </w:rPr>
                    <w:t xml:space="preserve">kadar </w:t>
                  </w:r>
                  <w:r>
                    <w:rPr>
                      <w:rFonts w:ascii="Century" w:hAnsi="Century"/>
                      <w:lang w:val="tr-TR"/>
                    </w:rPr>
                    <w:t xml:space="preserve">azalış </w:t>
                  </w:r>
                  <w:r w:rsidR="00F963D1">
                    <w:rPr>
                      <w:rFonts w:ascii="Century" w:hAnsi="Century"/>
                      <w:lang w:val="tr-TR"/>
                    </w:rPr>
                    <w:t>olmuş</w:t>
                  </w:r>
                  <w:r w:rsidR="008F0D6C">
                    <w:rPr>
                      <w:rFonts w:ascii="Century" w:hAnsi="Century"/>
                      <w:lang w:val="tr-TR"/>
                    </w:rPr>
                    <w:t>, 2007 yılında artış trendine girilmiştir.</w:t>
                  </w:r>
                </w:p>
                <w:p w:rsidR="00D73638" w:rsidRPr="00367FA3" w:rsidRDefault="00D73638" w:rsidP="00583832">
                  <w:pPr>
                    <w:rPr>
                      <w:rFonts w:ascii="Century" w:hAnsi="Century"/>
                      <w:highlight w:val="yellow"/>
                      <w:lang w:val="tr-TR"/>
                    </w:rPr>
                  </w:pPr>
                </w:p>
              </w:tc>
              <w:tc>
                <w:tcPr>
                  <w:tcW w:w="236" w:type="dxa"/>
                </w:tcPr>
                <w:p w:rsidR="00D73638" w:rsidRPr="00367FA3" w:rsidRDefault="00D73638" w:rsidP="00583832">
                  <w:pPr>
                    <w:rPr>
                      <w:rFonts w:ascii="Century" w:hAnsi="Century"/>
                      <w:highlight w:val="yellow"/>
                      <w:lang w:val="tr-TR"/>
                    </w:rPr>
                  </w:pPr>
                </w:p>
              </w:tc>
              <w:tc>
                <w:tcPr>
                  <w:tcW w:w="4804" w:type="dxa"/>
                </w:tcPr>
                <w:p w:rsidR="00D73638" w:rsidRPr="00CF3FF2" w:rsidRDefault="00D73638" w:rsidP="00D73638">
                  <w:pPr>
                    <w:jc w:val="both"/>
                    <w:rPr>
                      <w:rFonts w:ascii="Century" w:hAnsi="Century"/>
                      <w:color w:val="404040"/>
                    </w:rPr>
                  </w:pPr>
                  <w:r w:rsidRPr="00CF3FF2">
                    <w:rPr>
                      <w:rFonts w:ascii="Century" w:hAnsi="Century"/>
                      <w:color w:val="404040"/>
                    </w:rPr>
                    <w:t>According to groups, there is</w:t>
                  </w:r>
                  <w:r w:rsidR="003F05DE">
                    <w:rPr>
                      <w:rFonts w:ascii="Century" w:hAnsi="Century"/>
                      <w:color w:val="404040"/>
                    </w:rPr>
                    <w:t xml:space="preserve"> </w:t>
                  </w:r>
                  <w:r w:rsidRPr="00CF3FF2">
                    <w:rPr>
                      <w:rFonts w:ascii="Century" w:hAnsi="Century"/>
                      <w:color w:val="404040"/>
                    </w:rPr>
                    <w:t>n</w:t>
                  </w:r>
                  <w:r w:rsidR="003F05DE">
                    <w:rPr>
                      <w:rFonts w:ascii="Century" w:hAnsi="Century"/>
                      <w:color w:val="404040"/>
                    </w:rPr>
                    <w:t>o</w:t>
                  </w:r>
                  <w:r w:rsidRPr="00CF3FF2">
                    <w:rPr>
                      <w:rFonts w:ascii="Century" w:hAnsi="Century"/>
                      <w:color w:val="404040"/>
                    </w:rPr>
                    <w:t>t much change in premium volume concentration of non-life insurance companies in terms of first five and ten companies. However it is seen that the concentration decreases gradually in life insurance companies</w:t>
                  </w:r>
                  <w:r w:rsidR="008F0D6C">
                    <w:rPr>
                      <w:rFonts w:ascii="Century" w:hAnsi="Century"/>
                      <w:color w:val="404040"/>
                    </w:rPr>
                    <w:t xml:space="preserve"> until 2006, after that </w:t>
                  </w:r>
                  <w:r w:rsidR="008F0D6C" w:rsidRPr="00CF3FF2">
                    <w:rPr>
                      <w:rFonts w:ascii="Century" w:hAnsi="Century"/>
                      <w:color w:val="404040"/>
                    </w:rPr>
                    <w:t>the concentration</w:t>
                  </w:r>
                  <w:r w:rsidR="008F0D6C">
                    <w:rPr>
                      <w:rFonts w:ascii="Century" w:hAnsi="Century"/>
                      <w:color w:val="404040"/>
                    </w:rPr>
                    <w:t xml:space="preserve"> increases.</w:t>
                  </w:r>
                </w:p>
                <w:p w:rsidR="00D73638" w:rsidRPr="00367FA3" w:rsidRDefault="00D73638" w:rsidP="00D73638">
                  <w:pPr>
                    <w:jc w:val="both"/>
                    <w:rPr>
                      <w:rFonts w:ascii="Century" w:hAnsi="Century"/>
                      <w:highlight w:val="yellow"/>
                      <w:lang w:val="tr-TR"/>
                    </w:rPr>
                  </w:pPr>
                </w:p>
              </w:tc>
            </w:tr>
          </w:tbl>
          <w:p w:rsidR="00D73638" w:rsidRDefault="00D73638" w:rsidP="008D17FE">
            <w:pPr>
              <w:pStyle w:val="ResimYazs"/>
              <w:rPr>
                <w:rFonts w:ascii="Century" w:hAnsi="Century"/>
                <w:lang w:val="tr-TR"/>
              </w:rPr>
            </w:pPr>
          </w:p>
          <w:p w:rsidR="004649B1" w:rsidRPr="00C8131A" w:rsidRDefault="004649B1" w:rsidP="008D17FE">
            <w:pPr>
              <w:pStyle w:val="ResimYazs"/>
              <w:rPr>
                <w:rFonts w:ascii="Century" w:hAnsi="Century"/>
                <w:b w:val="0"/>
                <w:i/>
                <w:lang w:val="tr-TR"/>
              </w:rPr>
            </w:pPr>
            <w:r w:rsidRPr="00C8131A">
              <w:rPr>
                <w:rFonts w:ascii="Century" w:hAnsi="Century"/>
                <w:lang w:val="tr-TR"/>
              </w:rPr>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DA718E">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sidRPr="00C8131A">
              <w:rPr>
                <w:rFonts w:ascii="Century" w:hAnsi="Century"/>
                <w:lang w:val="tr-TR"/>
              </w:rPr>
              <w:fldChar w:fldCharType="begin"/>
            </w:r>
            <w:r w:rsidRPr="00C8131A">
              <w:rPr>
                <w:rFonts w:ascii="Century" w:hAnsi="Century"/>
                <w:lang w:val="tr-TR"/>
              </w:rPr>
              <w:instrText xml:space="preserve"> SEQ Tablo \* ARABIC \s 2 </w:instrText>
            </w:r>
            <w:r w:rsidRPr="00C8131A">
              <w:rPr>
                <w:rFonts w:ascii="Century" w:hAnsi="Century"/>
                <w:lang w:val="tr-TR"/>
              </w:rPr>
              <w:fldChar w:fldCharType="separate"/>
            </w:r>
            <w:r w:rsidR="00DA718E">
              <w:rPr>
                <w:rFonts w:ascii="Century" w:hAnsi="Century"/>
                <w:noProof/>
                <w:lang w:val="tr-TR"/>
              </w:rPr>
              <w:t>4</w:t>
            </w:r>
            <w:r w:rsidRPr="00C8131A">
              <w:rPr>
                <w:rFonts w:ascii="Century" w:hAnsi="Century"/>
                <w:lang w:val="tr-TR"/>
              </w:rPr>
              <w:fldChar w:fldCharType="end"/>
            </w:r>
            <w:r w:rsidRPr="00C8131A">
              <w:rPr>
                <w:rFonts w:ascii="Century" w:hAnsi="Century"/>
                <w:lang w:val="tr-TR"/>
              </w:rPr>
              <w:t xml:space="preserve">; </w:t>
            </w:r>
            <w:r w:rsidRPr="00C8131A">
              <w:rPr>
                <w:rFonts w:ascii="Century" w:hAnsi="Century"/>
                <w:bCs w:val="0"/>
                <w:lang w:val="tr-TR"/>
              </w:rPr>
              <w:t xml:space="preserve">Prime Göre Yoğunlaşma Göstergeleri – </w:t>
            </w:r>
            <w:r w:rsidRPr="00C8131A">
              <w:rPr>
                <w:rFonts w:ascii="Century" w:hAnsi="Century"/>
                <w:b w:val="0"/>
                <w:bCs w:val="0"/>
                <w:i/>
                <w:lang w:val="tr-TR"/>
              </w:rPr>
              <w:t>Concentration Indicators by PremiumVolume</w:t>
            </w:r>
            <w:bookmarkEnd w:id="33"/>
          </w:p>
          <w:p w:rsidR="006C0FA1" w:rsidRPr="00E51F1C" w:rsidRDefault="00E51F1C" w:rsidP="00E51F1C">
            <w:pPr>
              <w:jc w:val="center"/>
              <w:rPr>
                <w:rFonts w:ascii="Century" w:hAnsi="Century"/>
                <w:lang w:val="tr-TR"/>
              </w:rPr>
            </w:pPr>
            <w:r w:rsidRPr="00E51F1C">
              <w:rPr>
                <w:rFonts w:ascii="Century" w:hAnsi="Century"/>
                <w:lang w:val="tr-TR"/>
              </w:rPr>
              <w:pict>
                <v:shape id="_x0000_i1037" type="#_x0000_t75" style="width:481.5pt;height:171pt">
                  <v:imagedata r:id="rId27" o:title=""/>
                </v:shape>
              </w:pict>
            </w:r>
          </w:p>
          <w:p w:rsidR="00E51F1C" w:rsidRPr="00C8131A" w:rsidRDefault="00E51F1C" w:rsidP="00994F98">
            <w:pPr>
              <w:jc w:val="both"/>
              <w:rPr>
                <w:rFonts w:ascii="Century" w:hAnsi="Century"/>
                <w:lang w:val="tr-TR"/>
              </w:rPr>
            </w:pPr>
          </w:p>
        </w:tc>
      </w:tr>
      <w:tr w:rsidR="004605F7" w:rsidRPr="00367FA3">
        <w:trPr>
          <w:trHeight w:val="2415"/>
        </w:trPr>
        <w:tc>
          <w:tcPr>
            <w:tcW w:w="4815" w:type="dxa"/>
            <w:gridSpan w:val="2"/>
          </w:tcPr>
          <w:p w:rsidR="004605F7" w:rsidRPr="00E94DBF" w:rsidRDefault="004605F7" w:rsidP="00D15063">
            <w:pPr>
              <w:pStyle w:val="Balk4"/>
              <w:keepNext w:val="0"/>
              <w:numPr>
                <w:ilvl w:val="0"/>
                <w:numId w:val="10"/>
              </w:numPr>
              <w:spacing w:before="0" w:after="0"/>
              <w:ind w:left="357" w:firstLine="0"/>
              <w:rPr>
                <w:rFonts w:ascii="Century" w:hAnsi="Century"/>
                <w:b w:val="0"/>
                <w:bCs w:val="0"/>
                <w:sz w:val="24"/>
                <w:szCs w:val="24"/>
                <w:lang w:val="tr-TR"/>
              </w:rPr>
            </w:pPr>
            <w:bookmarkStart w:id="34" w:name="_Toc199251242"/>
            <w:r w:rsidRPr="00CD1FAC">
              <w:rPr>
                <w:rFonts w:ascii="Century" w:hAnsi="Century"/>
                <w:sz w:val="24"/>
                <w:szCs w:val="24"/>
                <w:lang w:val="tr-TR"/>
              </w:rPr>
              <w:lastRenderedPageBreak/>
              <w:t>Özsermaye Toplamına Göre Yoğunlaşma Göstergeleri</w:t>
            </w:r>
            <w:bookmarkEnd w:id="34"/>
          </w:p>
          <w:p w:rsidR="00092431" w:rsidRDefault="00092431" w:rsidP="006D69E8">
            <w:pPr>
              <w:jc w:val="both"/>
              <w:rPr>
                <w:rFonts w:ascii="Century" w:hAnsi="Century"/>
                <w:lang w:val="tr-TR"/>
              </w:rPr>
            </w:pPr>
          </w:p>
          <w:p w:rsidR="004605F7" w:rsidRPr="00D73638" w:rsidRDefault="004605F7" w:rsidP="006D69E8">
            <w:pPr>
              <w:jc w:val="both"/>
              <w:rPr>
                <w:rFonts w:ascii="Century" w:hAnsi="Century"/>
                <w:sz w:val="20"/>
                <w:szCs w:val="20"/>
                <w:highlight w:val="yellow"/>
                <w:lang w:val="tr-TR"/>
              </w:rPr>
            </w:pPr>
            <w:r>
              <w:rPr>
                <w:rFonts w:ascii="Century" w:hAnsi="Century"/>
                <w:lang w:val="tr-TR"/>
              </w:rPr>
              <w:t xml:space="preserve">Sektör </w:t>
            </w:r>
            <w:r w:rsidR="009C7A30">
              <w:rPr>
                <w:rFonts w:ascii="Century" w:hAnsi="Century"/>
                <w:lang w:val="tr-TR"/>
              </w:rPr>
              <w:t>özsermaye toplamı 2007 yılında  %</w:t>
            </w:r>
            <w:r>
              <w:rPr>
                <w:rFonts w:ascii="Century" w:hAnsi="Century"/>
                <w:lang w:val="tr-TR"/>
              </w:rPr>
              <w:t xml:space="preserve">36 oranında artarak 7.615 milyon YTL’ye ulaşmıştır. </w:t>
            </w:r>
            <w:r w:rsidRPr="00655751">
              <w:rPr>
                <w:rFonts w:ascii="Century" w:hAnsi="Century"/>
                <w:lang w:val="tr-TR"/>
              </w:rPr>
              <w:t xml:space="preserve">Sektör özkaynaklarının yıllar itibariyle </w:t>
            </w:r>
            <w:r>
              <w:rPr>
                <w:rFonts w:ascii="Century" w:hAnsi="Century"/>
                <w:lang w:val="tr-TR"/>
              </w:rPr>
              <w:t>değişimi hayat dışı</w:t>
            </w:r>
            <w:r w:rsidR="00715985">
              <w:rPr>
                <w:rFonts w:ascii="Century" w:hAnsi="Century"/>
                <w:lang w:val="tr-TR"/>
              </w:rPr>
              <w:t>,</w:t>
            </w:r>
            <w:r>
              <w:rPr>
                <w:rFonts w:ascii="Century" w:hAnsi="Century"/>
                <w:lang w:val="tr-TR"/>
              </w:rPr>
              <w:t xml:space="preserve"> hayat / emeklilik </w:t>
            </w:r>
            <w:r w:rsidR="00715985">
              <w:rPr>
                <w:rFonts w:ascii="Century" w:hAnsi="Century"/>
                <w:lang w:val="tr-TR"/>
              </w:rPr>
              <w:t xml:space="preserve">ve reasürans </w:t>
            </w:r>
            <w:r>
              <w:rPr>
                <w:rFonts w:ascii="Century" w:hAnsi="Century"/>
                <w:lang w:val="tr-TR"/>
              </w:rPr>
              <w:t>şirketleri ayrımında aşağıdaki tabloda gösterilmiştir.</w:t>
            </w:r>
            <w:r w:rsidRPr="00C31734">
              <w:rPr>
                <w:rFonts w:ascii="Century" w:hAnsi="Century"/>
                <w:lang w:val="tr-TR"/>
              </w:rPr>
              <w:t xml:space="preserve"> </w:t>
            </w:r>
          </w:p>
        </w:tc>
        <w:tc>
          <w:tcPr>
            <w:tcW w:w="236" w:type="dxa"/>
            <w:gridSpan w:val="2"/>
          </w:tcPr>
          <w:p w:rsidR="004605F7" w:rsidRPr="00367FA3" w:rsidRDefault="004605F7" w:rsidP="006D69E8">
            <w:pPr>
              <w:rPr>
                <w:rFonts w:ascii="Century" w:hAnsi="Century"/>
                <w:highlight w:val="yellow"/>
                <w:lang w:val="tr-TR"/>
              </w:rPr>
            </w:pPr>
          </w:p>
        </w:tc>
        <w:tc>
          <w:tcPr>
            <w:tcW w:w="4804" w:type="dxa"/>
          </w:tcPr>
          <w:p w:rsidR="004605F7" w:rsidRPr="00CF3FF2" w:rsidRDefault="004605F7" w:rsidP="006D69E8">
            <w:pPr>
              <w:ind w:left="357"/>
              <w:rPr>
                <w:rFonts w:ascii="Century" w:hAnsi="Century"/>
                <w:b/>
                <w:color w:val="404040"/>
                <w:lang w:val="tr-TR"/>
              </w:rPr>
            </w:pPr>
            <w:r w:rsidRPr="00CF3FF2">
              <w:rPr>
                <w:rFonts w:ascii="Century" w:hAnsi="Century"/>
                <w:b/>
                <w:color w:val="404040"/>
                <w:lang w:val="tr-TR"/>
              </w:rPr>
              <w:t>C.  Concentration Indicators of Shareholders</w:t>
            </w:r>
          </w:p>
          <w:p w:rsidR="004605F7" w:rsidRPr="00CF3FF2" w:rsidRDefault="004605F7" w:rsidP="006D69E8">
            <w:pPr>
              <w:jc w:val="both"/>
              <w:rPr>
                <w:rFonts w:ascii="Century" w:hAnsi="Century"/>
                <w:b/>
                <w:color w:val="404040"/>
                <w:lang w:val="tr-TR"/>
              </w:rPr>
            </w:pPr>
          </w:p>
          <w:p w:rsidR="004605F7" w:rsidRPr="00367FA3" w:rsidRDefault="006B7D72" w:rsidP="003D195C">
            <w:pPr>
              <w:jc w:val="both"/>
              <w:rPr>
                <w:rFonts w:ascii="Century" w:hAnsi="Century"/>
                <w:highlight w:val="yellow"/>
                <w:lang w:val="tr-TR"/>
              </w:rPr>
            </w:pPr>
            <w:r w:rsidRPr="00CF3FF2">
              <w:rPr>
                <w:rFonts w:ascii="Century" w:hAnsi="Century"/>
                <w:color w:val="404040"/>
                <w:lang w:val="tr-TR"/>
              </w:rPr>
              <w:t xml:space="preserve">Total shareholders’ equity for the market increased by 36% to 7,615 </w:t>
            </w:r>
            <w:r w:rsidR="005134FF" w:rsidRPr="00CF3FF2">
              <w:rPr>
                <w:rFonts w:ascii="Century" w:hAnsi="Century"/>
                <w:color w:val="404040"/>
                <w:lang w:val="tr-TR"/>
              </w:rPr>
              <w:t>m</w:t>
            </w:r>
            <w:r w:rsidR="00EF6432" w:rsidRPr="00CF3FF2">
              <w:rPr>
                <w:rFonts w:ascii="Century" w:hAnsi="Century"/>
                <w:color w:val="404040"/>
                <w:lang w:val="tr-TR"/>
              </w:rPr>
              <w:t>illions YTL</w:t>
            </w:r>
            <w:r w:rsidR="00C92812" w:rsidRPr="00CF3FF2">
              <w:rPr>
                <w:rFonts w:ascii="Century" w:hAnsi="Century"/>
                <w:color w:val="404040"/>
                <w:lang w:val="tr-TR"/>
              </w:rPr>
              <w:t xml:space="preserve"> in year 2007.</w:t>
            </w:r>
            <w:r w:rsidR="00EF6432" w:rsidRPr="00CF3FF2">
              <w:rPr>
                <w:rFonts w:ascii="Century" w:hAnsi="Century"/>
                <w:color w:val="404040"/>
                <w:lang w:val="tr-TR"/>
              </w:rPr>
              <w:t xml:space="preserve"> Equity values for life and non-life </w:t>
            </w:r>
            <w:r w:rsidR="003D195C">
              <w:rPr>
                <w:rFonts w:ascii="Century" w:hAnsi="Century"/>
                <w:color w:val="404040"/>
                <w:lang w:val="tr-TR"/>
              </w:rPr>
              <w:t xml:space="preserve">and reinsurance </w:t>
            </w:r>
            <w:r w:rsidR="00EF6432" w:rsidRPr="00CF3FF2">
              <w:rPr>
                <w:rFonts w:ascii="Century" w:hAnsi="Century"/>
                <w:color w:val="404040"/>
                <w:lang w:val="tr-TR"/>
              </w:rPr>
              <w:t xml:space="preserve">groups for the preceding </w:t>
            </w:r>
            <w:r w:rsidR="00C92812" w:rsidRPr="00CF3FF2">
              <w:rPr>
                <w:rFonts w:ascii="Century" w:hAnsi="Century"/>
                <w:color w:val="404040"/>
                <w:lang w:val="tr-TR"/>
              </w:rPr>
              <w:t>years are shown in the table below.</w:t>
            </w:r>
          </w:p>
        </w:tc>
      </w:tr>
      <w:tr w:rsidR="004605F7" w:rsidRPr="00367FA3">
        <w:trPr>
          <w:trHeight w:val="540"/>
        </w:trPr>
        <w:tc>
          <w:tcPr>
            <w:tcW w:w="9855" w:type="dxa"/>
            <w:gridSpan w:val="5"/>
          </w:tcPr>
          <w:p w:rsidR="004605F7" w:rsidRDefault="004605F7" w:rsidP="006D69E8">
            <w:pPr>
              <w:ind w:left="357"/>
              <w:rPr>
                <w:rFonts w:ascii="Century" w:hAnsi="Century"/>
                <w:sz w:val="20"/>
                <w:szCs w:val="20"/>
                <w:highlight w:val="yellow"/>
                <w:lang w:val="tr-TR"/>
              </w:rPr>
            </w:pPr>
            <w:r>
              <w:rPr>
                <w:rFonts w:ascii="Century" w:hAnsi="Century"/>
                <w:sz w:val="20"/>
                <w:szCs w:val="20"/>
                <w:highlight w:val="yellow"/>
                <w:lang w:val="tr-TR"/>
              </w:rPr>
              <w:t xml:space="preserve"> </w:t>
            </w:r>
          </w:p>
          <w:p w:rsidR="004605F7" w:rsidRDefault="004605F7" w:rsidP="006D69E8">
            <w:pPr>
              <w:pStyle w:val="ResimYazs"/>
              <w:rPr>
                <w:rFonts w:ascii="Century" w:hAnsi="Century"/>
                <w:highlight w:val="yellow"/>
                <w:lang w:val="tr-TR"/>
              </w:rPr>
            </w:pPr>
            <w:r>
              <w:rPr>
                <w:rFonts w:ascii="Century" w:hAnsi="Century"/>
                <w:lang w:val="tr-TR"/>
              </w:rPr>
              <w:t xml:space="preserve">      </w:t>
            </w:r>
            <w:r w:rsidR="00563F7E">
              <w:rPr>
                <w:rFonts w:ascii="Century" w:hAnsi="Century"/>
                <w:lang w:val="tr-TR"/>
              </w:rPr>
              <w:t xml:space="preserve">           </w:t>
            </w:r>
            <w:r w:rsidRPr="00C8131A">
              <w:rPr>
                <w:rFonts w:ascii="Century" w:hAnsi="Century"/>
                <w:lang w:val="tr-TR"/>
              </w:rPr>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DA718E">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Pr>
                <w:rFonts w:ascii="Century" w:hAnsi="Century"/>
                <w:lang w:val="tr-TR"/>
              </w:rPr>
              <w:t>5</w:t>
            </w:r>
            <w:r w:rsidRPr="00C8131A">
              <w:rPr>
                <w:rFonts w:ascii="Century" w:hAnsi="Century"/>
                <w:lang w:val="tr-TR"/>
              </w:rPr>
              <w:t xml:space="preserve">; </w:t>
            </w:r>
            <w:r>
              <w:rPr>
                <w:rFonts w:ascii="Century" w:hAnsi="Century"/>
                <w:lang w:val="tr-TR"/>
              </w:rPr>
              <w:t>Özsermaye Tablosu</w:t>
            </w:r>
            <w:r w:rsidRPr="00C8131A">
              <w:rPr>
                <w:rFonts w:ascii="Century" w:hAnsi="Century"/>
                <w:bCs w:val="0"/>
                <w:lang w:val="tr-TR"/>
              </w:rPr>
              <w:t xml:space="preserve"> – </w:t>
            </w:r>
            <w:r w:rsidRPr="00C51457">
              <w:rPr>
                <w:rFonts w:ascii="Century" w:hAnsi="Century"/>
                <w:b w:val="0"/>
                <w:bCs w:val="0"/>
                <w:i/>
                <w:sz w:val="18"/>
                <w:szCs w:val="18"/>
                <w:lang w:val="tr-TR"/>
              </w:rPr>
              <w:t>Shareholders’ Equity Table</w:t>
            </w:r>
          </w:p>
          <w:p w:rsidR="004605F7" w:rsidRPr="00563F7E" w:rsidRDefault="00563F7E" w:rsidP="00563F7E">
            <w:pPr>
              <w:ind w:left="357"/>
              <w:jc w:val="center"/>
              <w:rPr>
                <w:rFonts w:ascii="Century" w:hAnsi="Century"/>
                <w:sz w:val="20"/>
                <w:szCs w:val="20"/>
                <w:highlight w:val="yellow"/>
                <w:lang w:val="tr-TR"/>
              </w:rPr>
            </w:pPr>
            <w:r w:rsidRPr="00563F7E">
              <w:rPr>
                <w:rFonts w:ascii="Century" w:hAnsi="Century"/>
                <w:sz w:val="20"/>
                <w:szCs w:val="20"/>
                <w:lang w:val="tr-TR"/>
              </w:rPr>
              <w:pict>
                <v:shape id="_x0000_i1038" type="#_x0000_t75" style="width:404.25pt;height:63.75pt">
                  <v:imagedata r:id="rId28" o:title=""/>
                </v:shape>
              </w:pict>
            </w:r>
          </w:p>
          <w:p w:rsidR="004605F7" w:rsidRDefault="004605F7" w:rsidP="006D69E8">
            <w:pPr>
              <w:ind w:left="357"/>
              <w:rPr>
                <w:rFonts w:ascii="Century" w:hAnsi="Century"/>
                <w:b/>
                <w:color w:val="1C1C1C"/>
                <w:lang w:val="tr-TR"/>
              </w:rPr>
            </w:pPr>
          </w:p>
        </w:tc>
      </w:tr>
      <w:tr w:rsidR="004605F7" w:rsidRPr="00367FA3">
        <w:trPr>
          <w:trHeight w:val="1863"/>
        </w:trPr>
        <w:tc>
          <w:tcPr>
            <w:tcW w:w="4815" w:type="dxa"/>
            <w:gridSpan w:val="2"/>
          </w:tcPr>
          <w:p w:rsidR="009C7A30" w:rsidRPr="00D3484F" w:rsidRDefault="004605F7" w:rsidP="009C7A30">
            <w:pPr>
              <w:jc w:val="both"/>
              <w:rPr>
                <w:rFonts w:ascii="Century" w:hAnsi="Century"/>
                <w:lang w:val="tr-TR"/>
              </w:rPr>
            </w:pPr>
            <w:r w:rsidRPr="00D3484F">
              <w:rPr>
                <w:rFonts w:ascii="Century" w:hAnsi="Century"/>
                <w:lang w:val="tr-TR"/>
              </w:rPr>
              <w:t>Özkaynakların yıllar itibariyle seyri incelendiğinde,</w:t>
            </w:r>
            <w:r w:rsidR="0021344D" w:rsidRPr="009C7A30">
              <w:rPr>
                <w:rFonts w:ascii="Century" w:hAnsi="Century"/>
                <w:lang w:val="tr-TR"/>
              </w:rPr>
              <w:t xml:space="preserve"> 2005 yılı başında yapılan enflasyon düzeltmesi</w:t>
            </w:r>
            <w:r w:rsidR="0021344D">
              <w:rPr>
                <w:rFonts w:ascii="Century" w:hAnsi="Century"/>
                <w:lang w:val="tr-TR"/>
              </w:rPr>
              <w:t>nin etkisiyle özsermayede</w:t>
            </w:r>
            <w:r w:rsidRPr="00D3484F">
              <w:rPr>
                <w:rFonts w:ascii="Century" w:hAnsi="Century"/>
                <w:lang w:val="tr-TR"/>
              </w:rPr>
              <w:t xml:space="preserve"> önemli tutarda artış olduğu görülmektedir</w:t>
            </w:r>
            <w:r w:rsidRPr="009C7A30">
              <w:rPr>
                <w:rFonts w:ascii="Century" w:hAnsi="Century"/>
                <w:lang w:val="tr-TR"/>
              </w:rPr>
              <w:t>.</w:t>
            </w:r>
            <w:r w:rsidR="009C7A30" w:rsidRPr="009C7A30">
              <w:rPr>
                <w:rFonts w:ascii="Century" w:hAnsi="Century"/>
                <w:lang w:val="tr-TR"/>
              </w:rPr>
              <w:t xml:space="preserve"> </w:t>
            </w:r>
          </w:p>
          <w:p w:rsidR="004605F7" w:rsidRPr="00D3484F" w:rsidRDefault="004605F7" w:rsidP="006D69E8">
            <w:pPr>
              <w:jc w:val="both"/>
              <w:rPr>
                <w:rFonts w:ascii="Century" w:hAnsi="Century"/>
                <w:lang w:val="tr-TR"/>
              </w:rPr>
            </w:pPr>
            <w:r w:rsidRPr="00D3484F">
              <w:rPr>
                <w:rFonts w:ascii="Century" w:hAnsi="Century"/>
                <w:lang w:val="tr-TR"/>
              </w:rPr>
              <w:t xml:space="preserve"> </w:t>
            </w:r>
          </w:p>
          <w:p w:rsidR="004605F7" w:rsidRDefault="0021344D" w:rsidP="006D69E8">
            <w:pPr>
              <w:jc w:val="both"/>
              <w:rPr>
                <w:rFonts w:ascii="Century" w:hAnsi="Century"/>
                <w:lang w:val="tr-TR"/>
              </w:rPr>
            </w:pPr>
            <w:r>
              <w:rPr>
                <w:rFonts w:ascii="Century" w:hAnsi="Century"/>
                <w:lang w:val="tr-TR"/>
              </w:rPr>
              <w:t>Özsermayeye göre yoğunlaşma göstergeleri incelendiğinde</w:t>
            </w:r>
            <w:r w:rsidR="00A5517E">
              <w:rPr>
                <w:rFonts w:ascii="Century" w:hAnsi="Century"/>
                <w:lang w:val="tr-TR"/>
              </w:rPr>
              <w:t xml:space="preserve">, </w:t>
            </w:r>
            <w:r w:rsidR="004605F7">
              <w:rPr>
                <w:rFonts w:ascii="Century" w:hAnsi="Century"/>
                <w:lang w:val="tr-TR"/>
              </w:rPr>
              <w:t>2005 yılında yapılan enflasyon düzeltmesinin de etkisiyle bu yılda ilk beş şirketin payı % 6</w:t>
            </w:r>
            <w:r w:rsidR="00A5517E">
              <w:rPr>
                <w:rFonts w:ascii="Century" w:hAnsi="Century"/>
                <w:lang w:val="tr-TR"/>
              </w:rPr>
              <w:t>6</w:t>
            </w:r>
            <w:r w:rsidR="004605F7">
              <w:rPr>
                <w:rFonts w:ascii="Century" w:hAnsi="Century"/>
                <w:lang w:val="tr-TR"/>
              </w:rPr>
              <w:t>, ilk on şirketin payı ise % 8</w:t>
            </w:r>
            <w:r w:rsidR="00A5517E">
              <w:rPr>
                <w:rFonts w:ascii="Century" w:hAnsi="Century"/>
                <w:lang w:val="tr-TR"/>
              </w:rPr>
              <w:t>2</w:t>
            </w:r>
            <w:r w:rsidR="004605F7">
              <w:rPr>
                <w:rFonts w:ascii="Century" w:hAnsi="Century"/>
                <w:lang w:val="tr-TR"/>
              </w:rPr>
              <w:t xml:space="preserve"> düzeyine yükselmiştir. </w:t>
            </w:r>
            <w:r w:rsidR="00A5517E">
              <w:rPr>
                <w:rFonts w:ascii="Century" w:hAnsi="Century"/>
                <w:lang w:val="tr-TR"/>
              </w:rPr>
              <w:t xml:space="preserve">Ancak 2006 ve 2007 yıllarında azalış trendine girilmiştir. </w:t>
            </w:r>
            <w:r w:rsidR="004605F7">
              <w:rPr>
                <w:rFonts w:ascii="Century" w:hAnsi="Century"/>
                <w:lang w:val="tr-TR"/>
              </w:rPr>
              <w:t xml:space="preserve">Benzer değişme hayat dışı şirket grubunda da yaşanırken, hayat / emeklilik grubunda </w:t>
            </w:r>
            <w:r w:rsidR="00A5517E">
              <w:rPr>
                <w:rFonts w:ascii="Century" w:hAnsi="Century"/>
                <w:lang w:val="tr-TR"/>
              </w:rPr>
              <w:t xml:space="preserve">ilk dört yılda önemli bir değişiklik yaşanmamış, 2007 yılında ise üç puanlık bir gerileme </w:t>
            </w:r>
            <w:r w:rsidR="00C536B9">
              <w:rPr>
                <w:rFonts w:ascii="Century" w:hAnsi="Century"/>
                <w:lang w:val="tr-TR"/>
              </w:rPr>
              <w:t>söz konusudur.</w:t>
            </w:r>
          </w:p>
          <w:p w:rsidR="00C536B9" w:rsidRPr="00607396" w:rsidRDefault="00C536B9" w:rsidP="006D69E8">
            <w:pPr>
              <w:jc w:val="both"/>
              <w:rPr>
                <w:rFonts w:ascii="Century" w:hAnsi="Century"/>
                <w:sz w:val="16"/>
                <w:szCs w:val="16"/>
                <w:highlight w:val="yellow"/>
                <w:lang w:val="tr-TR"/>
              </w:rPr>
            </w:pPr>
          </w:p>
        </w:tc>
        <w:tc>
          <w:tcPr>
            <w:tcW w:w="236" w:type="dxa"/>
            <w:gridSpan w:val="2"/>
          </w:tcPr>
          <w:p w:rsidR="004605F7" w:rsidRPr="00367FA3" w:rsidRDefault="004605F7" w:rsidP="006D69E8">
            <w:pPr>
              <w:rPr>
                <w:rFonts w:ascii="Century" w:hAnsi="Century"/>
                <w:highlight w:val="yellow"/>
                <w:lang w:val="tr-TR"/>
              </w:rPr>
            </w:pPr>
          </w:p>
        </w:tc>
        <w:tc>
          <w:tcPr>
            <w:tcW w:w="4804" w:type="dxa"/>
          </w:tcPr>
          <w:p w:rsidR="004605F7" w:rsidRPr="00CF3FF2" w:rsidRDefault="00C92812" w:rsidP="009815A4">
            <w:pPr>
              <w:jc w:val="both"/>
              <w:rPr>
                <w:rFonts w:ascii="Century" w:hAnsi="Century"/>
                <w:color w:val="404040"/>
                <w:lang w:val="tr-TR"/>
              </w:rPr>
            </w:pPr>
            <w:r w:rsidRPr="00CF3FF2">
              <w:rPr>
                <w:rFonts w:ascii="Century" w:hAnsi="Century"/>
                <w:color w:val="404040"/>
                <w:lang w:val="tr-TR"/>
              </w:rPr>
              <w:t>In year 2005</w:t>
            </w:r>
            <w:r w:rsidR="00071590" w:rsidRPr="00CF3FF2">
              <w:rPr>
                <w:rFonts w:ascii="Century" w:hAnsi="Century"/>
                <w:color w:val="404040"/>
                <w:lang w:val="tr-TR"/>
              </w:rPr>
              <w:t xml:space="preserve">, there </w:t>
            </w:r>
            <w:r w:rsidR="00303BCD" w:rsidRPr="00CF3FF2">
              <w:rPr>
                <w:rFonts w:ascii="Century" w:hAnsi="Century"/>
                <w:color w:val="404040"/>
                <w:lang w:val="tr-TR"/>
              </w:rPr>
              <w:t>are</w:t>
            </w:r>
            <w:r w:rsidR="00071590" w:rsidRPr="00CF3FF2">
              <w:rPr>
                <w:rFonts w:ascii="Century" w:hAnsi="Century"/>
                <w:color w:val="404040"/>
                <w:lang w:val="tr-TR"/>
              </w:rPr>
              <w:t xml:space="preserve"> significant increase</w:t>
            </w:r>
            <w:r w:rsidR="00303BCD" w:rsidRPr="00CF3FF2">
              <w:rPr>
                <w:rFonts w:ascii="Century" w:hAnsi="Century"/>
                <w:color w:val="404040"/>
                <w:lang w:val="tr-TR"/>
              </w:rPr>
              <w:t>s</w:t>
            </w:r>
            <w:r w:rsidR="00071590" w:rsidRPr="00CF3FF2">
              <w:rPr>
                <w:rFonts w:ascii="Century" w:hAnsi="Century"/>
                <w:color w:val="404040"/>
                <w:lang w:val="tr-TR"/>
              </w:rPr>
              <w:t xml:space="preserve"> in </w:t>
            </w:r>
            <w:r w:rsidR="00303BCD" w:rsidRPr="00CF3FF2">
              <w:rPr>
                <w:rFonts w:ascii="Century" w:hAnsi="Century"/>
                <w:color w:val="404040"/>
                <w:lang w:val="tr-TR"/>
              </w:rPr>
              <w:t xml:space="preserve">booking items; </w:t>
            </w:r>
            <w:r w:rsidR="0021344D">
              <w:rPr>
                <w:rFonts w:ascii="Century" w:hAnsi="Century"/>
                <w:color w:val="404040"/>
                <w:lang w:val="tr-TR"/>
              </w:rPr>
              <w:t>t</w:t>
            </w:r>
            <w:r w:rsidR="00303BCD" w:rsidRPr="00CF3FF2">
              <w:rPr>
                <w:rFonts w:ascii="Century" w:hAnsi="Century"/>
                <w:color w:val="404040"/>
                <w:lang w:val="tr-TR"/>
              </w:rPr>
              <w:t xml:space="preserve">he main cause for such increase is the inflation adjustment </w:t>
            </w:r>
            <w:r w:rsidR="006C4B7C" w:rsidRPr="00CF3FF2">
              <w:rPr>
                <w:rFonts w:ascii="Century" w:hAnsi="Century"/>
                <w:color w:val="404040"/>
                <w:lang w:val="tr-TR"/>
              </w:rPr>
              <w:t>inured at the beginning of year 2005.</w:t>
            </w:r>
          </w:p>
          <w:p w:rsidR="009815A4" w:rsidRDefault="009815A4" w:rsidP="009815A4">
            <w:pPr>
              <w:jc w:val="both"/>
              <w:rPr>
                <w:rFonts w:ascii="Century" w:hAnsi="Century"/>
                <w:color w:val="404040"/>
                <w:lang w:val="tr-TR"/>
              </w:rPr>
            </w:pPr>
          </w:p>
          <w:p w:rsidR="006C4B7C" w:rsidRPr="00CF3FF2" w:rsidRDefault="00612738" w:rsidP="009815A4">
            <w:pPr>
              <w:jc w:val="both"/>
              <w:rPr>
                <w:rFonts w:ascii="Century" w:hAnsi="Century"/>
                <w:color w:val="404040"/>
                <w:sz w:val="20"/>
                <w:szCs w:val="20"/>
                <w:highlight w:val="yellow"/>
                <w:lang w:val="tr-TR"/>
              </w:rPr>
            </w:pPr>
            <w:r w:rsidRPr="00612738">
              <w:rPr>
                <w:rFonts w:ascii="Century" w:hAnsi="Century"/>
                <w:color w:val="404040"/>
                <w:lang w:val="tr-TR"/>
              </w:rPr>
              <w:t xml:space="preserve">In year 2005 according to equity magnitude, the first 5 companies’ and the first 10 companies’ total shares in total equity became 66% and 82% respectively. However, in the past two years, because of inflation adjustment in year 2005, these shares have had decreasing trends. Similar situation is seen non-life group, though there has not been any significant change for life group since 2003 except 3 points decrease in year 2007. </w:t>
            </w:r>
          </w:p>
        </w:tc>
      </w:tr>
      <w:tr w:rsidR="004605F7" w:rsidRPr="00367FA3">
        <w:trPr>
          <w:trHeight w:val="255"/>
        </w:trPr>
        <w:tc>
          <w:tcPr>
            <w:tcW w:w="9855" w:type="dxa"/>
            <w:gridSpan w:val="5"/>
          </w:tcPr>
          <w:p w:rsidR="004605F7" w:rsidRPr="00C8131A" w:rsidRDefault="004605F7" w:rsidP="006D69E8">
            <w:pPr>
              <w:pStyle w:val="ResimYazs"/>
              <w:rPr>
                <w:rFonts w:ascii="Century" w:hAnsi="Century"/>
                <w:b w:val="0"/>
                <w:i/>
                <w:lang w:val="tr-TR"/>
              </w:rPr>
            </w:pPr>
            <w:r w:rsidRPr="00C8131A">
              <w:rPr>
                <w:rFonts w:ascii="Century" w:hAnsi="Century"/>
                <w:lang w:val="tr-TR"/>
              </w:rPr>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DA718E">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Pr>
                <w:rFonts w:ascii="Century" w:hAnsi="Century"/>
                <w:lang w:val="tr-TR"/>
              </w:rPr>
              <w:t>6</w:t>
            </w:r>
            <w:r w:rsidRPr="00C8131A">
              <w:rPr>
                <w:rFonts w:ascii="Century" w:hAnsi="Century"/>
                <w:lang w:val="tr-TR"/>
              </w:rPr>
              <w:t xml:space="preserve">; </w:t>
            </w:r>
            <w:r>
              <w:rPr>
                <w:rFonts w:ascii="Century" w:hAnsi="Century"/>
                <w:lang w:val="tr-TR"/>
              </w:rPr>
              <w:t>Özsermayeye</w:t>
            </w:r>
            <w:r w:rsidRPr="00C8131A">
              <w:rPr>
                <w:rFonts w:ascii="Century" w:hAnsi="Century"/>
                <w:bCs w:val="0"/>
                <w:lang w:val="tr-TR"/>
              </w:rPr>
              <w:t xml:space="preserve"> Göre Yoğunlaşma – </w:t>
            </w:r>
            <w:r w:rsidRPr="00C8131A">
              <w:rPr>
                <w:rFonts w:ascii="Century" w:hAnsi="Century"/>
                <w:b w:val="0"/>
                <w:bCs w:val="0"/>
                <w:i/>
                <w:lang w:val="tr-TR"/>
              </w:rPr>
              <w:t xml:space="preserve">Concentration Indicators by </w:t>
            </w:r>
            <w:r>
              <w:rPr>
                <w:rFonts w:ascii="Century" w:hAnsi="Century"/>
                <w:b w:val="0"/>
                <w:bCs w:val="0"/>
                <w:i/>
                <w:lang w:val="tr-TR"/>
              </w:rPr>
              <w:t>Shareholders’ Equity</w:t>
            </w:r>
          </w:p>
          <w:p w:rsidR="004605F7" w:rsidRPr="00DA531C" w:rsidRDefault="00DA531C" w:rsidP="006D69E8">
            <w:pPr>
              <w:jc w:val="center"/>
              <w:rPr>
                <w:rFonts w:ascii="Century" w:hAnsi="Century"/>
                <w:sz w:val="20"/>
                <w:szCs w:val="20"/>
                <w:highlight w:val="yellow"/>
                <w:lang w:val="tr-TR"/>
              </w:rPr>
            </w:pPr>
            <w:r w:rsidRPr="00DA531C">
              <w:rPr>
                <w:rFonts w:ascii="Century" w:hAnsi="Century"/>
                <w:sz w:val="20"/>
                <w:szCs w:val="20"/>
                <w:lang w:val="tr-TR"/>
              </w:rPr>
              <w:pict>
                <v:shape id="_x0000_i1039" type="#_x0000_t75" style="width:481.5pt;height:147pt">
                  <v:imagedata r:id="rId29" o:title=""/>
                </v:shape>
              </w:pict>
            </w:r>
          </w:p>
        </w:tc>
      </w:tr>
      <w:tr w:rsidR="004605F7" w:rsidRPr="00367FA3">
        <w:trPr>
          <w:trHeight w:val="1530"/>
        </w:trPr>
        <w:tc>
          <w:tcPr>
            <w:tcW w:w="4815" w:type="dxa"/>
            <w:gridSpan w:val="2"/>
          </w:tcPr>
          <w:p w:rsidR="004605F7" w:rsidRDefault="004605F7" w:rsidP="006D69E8">
            <w:pPr>
              <w:jc w:val="both"/>
              <w:rPr>
                <w:rFonts w:ascii="Century" w:hAnsi="Century"/>
                <w:lang w:val="tr-TR"/>
              </w:rPr>
            </w:pPr>
            <w:r w:rsidRPr="00E94DBF">
              <w:rPr>
                <w:rFonts w:ascii="Century" w:hAnsi="Century"/>
                <w:lang w:val="tr-TR"/>
              </w:rPr>
              <w:lastRenderedPageBreak/>
              <w:t>Aşağıdaki tablo</w:t>
            </w:r>
            <w:r>
              <w:rPr>
                <w:rFonts w:ascii="Century" w:hAnsi="Century"/>
                <w:lang w:val="tr-TR"/>
              </w:rPr>
              <w:t xml:space="preserve">da 2003-2007 yılları arası ödenmiş sermaye ve prim üretimi içinde hayat dışı ve hayat / emeklilik şirketi ayrımında yabancı sermayenin payına ilişkin oranlar verilmiştir. </w:t>
            </w:r>
          </w:p>
          <w:p w:rsidR="004605F7" w:rsidRPr="006B6B09" w:rsidRDefault="004605F7" w:rsidP="006D69E8">
            <w:pPr>
              <w:jc w:val="both"/>
              <w:rPr>
                <w:rFonts w:ascii="Century" w:hAnsi="Century"/>
                <w:lang w:val="tr-TR"/>
              </w:rPr>
            </w:pPr>
          </w:p>
        </w:tc>
        <w:tc>
          <w:tcPr>
            <w:tcW w:w="236" w:type="dxa"/>
            <w:gridSpan w:val="2"/>
          </w:tcPr>
          <w:p w:rsidR="004605F7" w:rsidRPr="00367FA3" w:rsidRDefault="004605F7" w:rsidP="006D69E8">
            <w:pPr>
              <w:rPr>
                <w:rFonts w:ascii="Century" w:hAnsi="Century"/>
                <w:highlight w:val="yellow"/>
                <w:lang w:val="tr-TR"/>
              </w:rPr>
            </w:pPr>
          </w:p>
        </w:tc>
        <w:tc>
          <w:tcPr>
            <w:tcW w:w="4804" w:type="dxa"/>
          </w:tcPr>
          <w:p w:rsidR="004605F7" w:rsidRPr="00CF3FF2" w:rsidRDefault="00905836" w:rsidP="00E10B8C">
            <w:pPr>
              <w:jc w:val="both"/>
              <w:rPr>
                <w:rFonts w:ascii="Century" w:hAnsi="Century"/>
                <w:color w:val="404040"/>
                <w:lang w:val="tr-TR"/>
              </w:rPr>
            </w:pPr>
            <w:r w:rsidRPr="00CF3FF2">
              <w:rPr>
                <w:rFonts w:ascii="Century" w:hAnsi="Century"/>
                <w:color w:val="404040"/>
                <w:lang w:val="tr-TR"/>
              </w:rPr>
              <w:t>Foreign capital ratios in paid in capital and premium volume for years 2003 to 2007 according to non-life companies and life/pension companies are shown in the table below.</w:t>
            </w:r>
          </w:p>
          <w:p w:rsidR="004605F7" w:rsidRDefault="004605F7" w:rsidP="006D69E8">
            <w:pPr>
              <w:rPr>
                <w:rFonts w:ascii="Century" w:hAnsi="Century"/>
                <w:b/>
                <w:color w:val="1C1C1C"/>
                <w:lang w:val="tr-TR"/>
              </w:rPr>
            </w:pPr>
          </w:p>
        </w:tc>
      </w:tr>
      <w:tr w:rsidR="004605F7" w:rsidRPr="00367FA3">
        <w:trPr>
          <w:trHeight w:val="270"/>
        </w:trPr>
        <w:tc>
          <w:tcPr>
            <w:tcW w:w="9855" w:type="dxa"/>
            <w:gridSpan w:val="5"/>
          </w:tcPr>
          <w:p w:rsidR="004605F7" w:rsidRPr="00022FA0" w:rsidRDefault="004605F7" w:rsidP="006D69E8">
            <w:pPr>
              <w:pStyle w:val="ResimYazs"/>
              <w:jc w:val="center"/>
              <w:rPr>
                <w:rFonts w:ascii="Century" w:hAnsi="Century"/>
                <w:b w:val="0"/>
                <w:i/>
                <w:sz w:val="18"/>
                <w:szCs w:val="18"/>
                <w:lang w:val="tr-TR"/>
              </w:rPr>
            </w:pPr>
            <w:r w:rsidRPr="00C8131A">
              <w:rPr>
                <w:rFonts w:ascii="Century" w:hAnsi="Century"/>
                <w:lang w:val="tr-TR"/>
              </w:rPr>
              <w:t xml:space="preserve">Tablo </w:t>
            </w:r>
            <w:r w:rsidRPr="00C8131A">
              <w:rPr>
                <w:rFonts w:ascii="Century" w:hAnsi="Century"/>
                <w:lang w:val="tr-TR"/>
              </w:rPr>
              <w:fldChar w:fldCharType="begin"/>
            </w:r>
            <w:r w:rsidRPr="00C8131A">
              <w:rPr>
                <w:rFonts w:ascii="Century" w:hAnsi="Century"/>
                <w:lang w:val="tr-TR"/>
              </w:rPr>
              <w:instrText xml:space="preserve"> STYLEREF 2 \s </w:instrText>
            </w:r>
            <w:r w:rsidRPr="00C8131A">
              <w:rPr>
                <w:rFonts w:ascii="Century" w:hAnsi="Century"/>
                <w:lang w:val="tr-TR"/>
              </w:rPr>
              <w:fldChar w:fldCharType="separate"/>
            </w:r>
            <w:r w:rsidR="00DA718E">
              <w:rPr>
                <w:rFonts w:ascii="Century" w:hAnsi="Century"/>
                <w:noProof/>
                <w:lang w:val="tr-TR"/>
              </w:rPr>
              <w:t>1.3</w:t>
            </w:r>
            <w:r w:rsidRPr="00C8131A">
              <w:rPr>
                <w:rFonts w:ascii="Century" w:hAnsi="Century"/>
                <w:lang w:val="tr-TR"/>
              </w:rPr>
              <w:fldChar w:fldCharType="end"/>
            </w:r>
            <w:r w:rsidRPr="00C8131A">
              <w:rPr>
                <w:rFonts w:ascii="Century" w:hAnsi="Century"/>
                <w:lang w:val="tr-TR"/>
              </w:rPr>
              <w:noBreakHyphen/>
            </w:r>
            <w:r>
              <w:rPr>
                <w:rFonts w:ascii="Century" w:hAnsi="Century"/>
                <w:lang w:val="tr-TR"/>
              </w:rPr>
              <w:t>6</w:t>
            </w:r>
            <w:r w:rsidRPr="00C8131A">
              <w:rPr>
                <w:rFonts w:ascii="Century" w:hAnsi="Century"/>
                <w:lang w:val="tr-TR"/>
              </w:rPr>
              <w:t xml:space="preserve">; </w:t>
            </w:r>
            <w:r>
              <w:rPr>
                <w:rFonts w:ascii="Century" w:hAnsi="Century"/>
                <w:lang w:val="tr-TR"/>
              </w:rPr>
              <w:t>Yabancı Payı</w:t>
            </w:r>
            <w:r w:rsidRPr="00022FA0">
              <w:rPr>
                <w:rFonts w:ascii="Century" w:hAnsi="Century"/>
                <w:lang w:val="tr-TR"/>
              </w:rPr>
              <w:t xml:space="preserve"> – </w:t>
            </w:r>
            <w:r w:rsidRPr="00022FA0">
              <w:rPr>
                <w:rFonts w:ascii="Century" w:hAnsi="Century"/>
                <w:b w:val="0"/>
                <w:i/>
                <w:sz w:val="18"/>
                <w:szCs w:val="18"/>
                <w:lang w:val="tr-TR"/>
              </w:rPr>
              <w:t>Foreign Partners Share</w:t>
            </w:r>
          </w:p>
          <w:p w:rsidR="004605F7" w:rsidRPr="00C34D9D" w:rsidRDefault="00C34D9D" w:rsidP="006D69E8">
            <w:pPr>
              <w:jc w:val="center"/>
              <w:rPr>
                <w:rFonts w:ascii="Century" w:hAnsi="Century"/>
                <w:b/>
                <w:color w:val="1C1C1C"/>
                <w:lang w:val="tr-TR"/>
              </w:rPr>
            </w:pPr>
            <w:r w:rsidRPr="00C34D9D">
              <w:rPr>
                <w:rFonts w:ascii="Century" w:hAnsi="Century"/>
                <w:b/>
                <w:color w:val="1C1C1C"/>
                <w:lang w:val="tr-TR"/>
              </w:rPr>
              <w:pict>
                <v:shape id="_x0000_i1040" type="#_x0000_t75" style="width:481.5pt;height:90pt">
                  <v:imagedata r:id="rId30" o:title=""/>
                </v:shape>
              </w:pict>
            </w:r>
          </w:p>
        </w:tc>
      </w:tr>
      <w:tr w:rsidR="004605F7" w:rsidRPr="00CF3FF2">
        <w:trPr>
          <w:trHeight w:val="3705"/>
        </w:trPr>
        <w:tc>
          <w:tcPr>
            <w:tcW w:w="4815" w:type="dxa"/>
            <w:gridSpan w:val="2"/>
          </w:tcPr>
          <w:p w:rsidR="004605F7" w:rsidRDefault="004605F7" w:rsidP="006D69E8">
            <w:pPr>
              <w:jc w:val="both"/>
              <w:rPr>
                <w:rFonts w:ascii="Century" w:hAnsi="Century"/>
                <w:lang w:val="tr-TR"/>
              </w:rPr>
            </w:pPr>
          </w:p>
          <w:p w:rsidR="004605F7" w:rsidRDefault="004605F7" w:rsidP="006D69E8">
            <w:pPr>
              <w:jc w:val="both"/>
              <w:rPr>
                <w:rFonts w:ascii="Century" w:hAnsi="Century"/>
                <w:lang w:val="tr-TR"/>
              </w:rPr>
            </w:pPr>
            <w:r>
              <w:rPr>
                <w:rFonts w:ascii="Century" w:hAnsi="Century"/>
                <w:lang w:val="tr-TR"/>
              </w:rPr>
              <w:t>Tablonun</w:t>
            </w:r>
            <w:r w:rsidRPr="00E94DBF">
              <w:rPr>
                <w:rFonts w:ascii="Century" w:hAnsi="Century"/>
                <w:lang w:val="tr-TR"/>
              </w:rPr>
              <w:t xml:space="preserve"> incelenmesinden de görüleceği üzere, </w:t>
            </w:r>
            <w:r w:rsidR="00B334B6">
              <w:rPr>
                <w:rFonts w:ascii="Century" w:hAnsi="Century"/>
                <w:lang w:val="tr-TR"/>
              </w:rPr>
              <w:t>son beş yıllık süreçte ödenmiş se</w:t>
            </w:r>
            <w:r w:rsidRPr="00E94DBF">
              <w:rPr>
                <w:rFonts w:ascii="Century" w:hAnsi="Century"/>
                <w:lang w:val="tr-TR"/>
              </w:rPr>
              <w:t>rmaye içinde yabancı sermayenin payı hay</w:t>
            </w:r>
            <w:r w:rsidR="009C7A30">
              <w:rPr>
                <w:rFonts w:ascii="Century" w:hAnsi="Century"/>
                <w:lang w:val="tr-TR"/>
              </w:rPr>
              <w:t>at dışı sigortacılık alanında %</w:t>
            </w:r>
            <w:r w:rsidR="00B334B6">
              <w:rPr>
                <w:rFonts w:ascii="Century" w:hAnsi="Century"/>
                <w:lang w:val="tr-TR"/>
              </w:rPr>
              <w:t xml:space="preserve"> 8’den % 38’e, </w:t>
            </w:r>
            <w:r w:rsidR="009C7A30">
              <w:rPr>
                <w:rFonts w:ascii="Century" w:hAnsi="Century"/>
                <w:lang w:val="tr-TR"/>
              </w:rPr>
              <w:t xml:space="preserve"> hayat / emeklilik alanında </w:t>
            </w:r>
            <w:r w:rsidR="00B334B6">
              <w:rPr>
                <w:rFonts w:ascii="Century" w:hAnsi="Century"/>
                <w:lang w:val="tr-TR"/>
              </w:rPr>
              <w:t xml:space="preserve">ise </w:t>
            </w:r>
            <w:r w:rsidR="009C7A30">
              <w:rPr>
                <w:rFonts w:ascii="Century" w:hAnsi="Century"/>
                <w:lang w:val="tr-TR"/>
              </w:rPr>
              <w:t>%</w:t>
            </w:r>
            <w:r w:rsidR="00B334B6">
              <w:rPr>
                <w:rFonts w:ascii="Century" w:hAnsi="Century"/>
                <w:lang w:val="tr-TR"/>
              </w:rPr>
              <w:t xml:space="preserve"> 25’ten % 38’e </w:t>
            </w:r>
            <w:r w:rsidRPr="00E94DBF">
              <w:rPr>
                <w:rFonts w:ascii="Century" w:hAnsi="Century"/>
                <w:lang w:val="tr-TR"/>
              </w:rPr>
              <w:t>yükselmiştir. Toplam prim üretimi içinde yabancı sermayenin payı ise ödenmiş sermayede yabancı payındaki artışa paralel</w:t>
            </w:r>
            <w:r w:rsidR="009C7A30">
              <w:rPr>
                <w:rFonts w:ascii="Century" w:hAnsi="Century"/>
                <w:lang w:val="tr-TR"/>
              </w:rPr>
              <w:t xml:space="preserve"> olarak %</w:t>
            </w:r>
            <w:r w:rsidR="00B334B6">
              <w:rPr>
                <w:rFonts w:ascii="Century" w:hAnsi="Century"/>
                <w:lang w:val="tr-TR"/>
              </w:rPr>
              <w:t xml:space="preserve"> 17</w:t>
            </w:r>
            <w:r w:rsidR="009C7A30">
              <w:rPr>
                <w:rFonts w:ascii="Century" w:hAnsi="Century"/>
                <w:lang w:val="tr-TR"/>
              </w:rPr>
              <w:t>’d</w:t>
            </w:r>
            <w:r w:rsidR="00B334B6">
              <w:rPr>
                <w:rFonts w:ascii="Century" w:hAnsi="Century"/>
                <w:lang w:val="tr-TR"/>
              </w:rPr>
              <w:t>e</w:t>
            </w:r>
            <w:r w:rsidR="009C7A30">
              <w:rPr>
                <w:rFonts w:ascii="Century" w:hAnsi="Century"/>
                <w:lang w:val="tr-TR"/>
              </w:rPr>
              <w:t>n %</w:t>
            </w:r>
            <w:r>
              <w:rPr>
                <w:rFonts w:ascii="Century" w:hAnsi="Century"/>
                <w:lang w:val="tr-TR"/>
              </w:rPr>
              <w:t>41</w:t>
            </w:r>
            <w:r w:rsidR="009C7A30">
              <w:rPr>
                <w:rFonts w:ascii="Century" w:hAnsi="Century"/>
                <w:lang w:val="tr-TR"/>
              </w:rPr>
              <w:t>’e</w:t>
            </w:r>
            <w:r>
              <w:rPr>
                <w:rFonts w:ascii="Century" w:hAnsi="Century"/>
                <w:lang w:val="tr-TR"/>
              </w:rPr>
              <w:t xml:space="preserve"> yükselmiştir.</w:t>
            </w:r>
          </w:p>
          <w:p w:rsidR="004605F7" w:rsidRDefault="004605F7" w:rsidP="006D69E8">
            <w:pPr>
              <w:jc w:val="both"/>
              <w:rPr>
                <w:rFonts w:ascii="Century" w:hAnsi="Century"/>
                <w:lang w:val="tr-TR"/>
              </w:rPr>
            </w:pPr>
          </w:p>
          <w:p w:rsidR="004605F7" w:rsidRDefault="004605F7" w:rsidP="006D69E8">
            <w:pPr>
              <w:jc w:val="both"/>
              <w:rPr>
                <w:rFonts w:ascii="Century" w:hAnsi="Century"/>
                <w:lang w:val="tr-TR"/>
              </w:rPr>
            </w:pPr>
            <w:r>
              <w:rPr>
                <w:rFonts w:ascii="Century" w:hAnsi="Century"/>
                <w:lang w:val="tr-TR"/>
              </w:rPr>
              <w:t>Aşağıdaki tabloda ise ödenmiş sermaye ve prim üretiminde son 1</w:t>
            </w:r>
            <w:r w:rsidR="0091475B">
              <w:rPr>
                <w:rFonts w:ascii="Century" w:hAnsi="Century"/>
                <w:lang w:val="tr-TR"/>
              </w:rPr>
              <w:t xml:space="preserve">0 </w:t>
            </w:r>
            <w:r w:rsidR="004F55DE">
              <w:rPr>
                <w:rFonts w:ascii="Century" w:hAnsi="Century"/>
                <w:lang w:val="tr-TR"/>
              </w:rPr>
              <w:t>yı</w:t>
            </w:r>
            <w:r>
              <w:rPr>
                <w:rFonts w:ascii="Century" w:hAnsi="Century"/>
                <w:lang w:val="tr-TR"/>
              </w:rPr>
              <w:t>llık süreçte yabancı payının gelişimi grafik olarak verilmiştir.</w:t>
            </w:r>
          </w:p>
          <w:p w:rsidR="004605F7" w:rsidRPr="006B6B09" w:rsidRDefault="004605F7" w:rsidP="006D69E8">
            <w:pPr>
              <w:jc w:val="both"/>
              <w:rPr>
                <w:rFonts w:ascii="Century" w:hAnsi="Century"/>
                <w:highlight w:val="yellow"/>
                <w:lang w:val="tr-TR"/>
              </w:rPr>
            </w:pPr>
          </w:p>
        </w:tc>
        <w:tc>
          <w:tcPr>
            <w:tcW w:w="236" w:type="dxa"/>
            <w:gridSpan w:val="2"/>
          </w:tcPr>
          <w:p w:rsidR="004605F7" w:rsidRPr="00367FA3" w:rsidRDefault="004605F7" w:rsidP="006D69E8">
            <w:pPr>
              <w:rPr>
                <w:rFonts w:ascii="Century" w:hAnsi="Century"/>
                <w:highlight w:val="yellow"/>
                <w:lang w:val="tr-TR"/>
              </w:rPr>
            </w:pPr>
          </w:p>
        </w:tc>
        <w:tc>
          <w:tcPr>
            <w:tcW w:w="4804" w:type="dxa"/>
          </w:tcPr>
          <w:p w:rsidR="004605F7" w:rsidRPr="00CF3FF2" w:rsidRDefault="004605F7" w:rsidP="006D69E8">
            <w:pPr>
              <w:rPr>
                <w:rFonts w:ascii="Century" w:hAnsi="Century"/>
                <w:b/>
                <w:color w:val="404040"/>
                <w:lang w:val="tr-TR"/>
              </w:rPr>
            </w:pPr>
          </w:p>
          <w:p w:rsidR="004605F7" w:rsidRPr="00CF3FF2" w:rsidRDefault="008A5EA7" w:rsidP="009815A4">
            <w:pPr>
              <w:jc w:val="both"/>
              <w:rPr>
                <w:rFonts w:ascii="Century" w:hAnsi="Century"/>
                <w:color w:val="404040"/>
                <w:lang w:val="tr-TR"/>
              </w:rPr>
            </w:pPr>
            <w:r w:rsidRPr="00CF3FF2">
              <w:rPr>
                <w:rFonts w:ascii="Century" w:hAnsi="Century"/>
                <w:color w:val="404040"/>
                <w:lang w:val="tr-TR"/>
              </w:rPr>
              <w:t xml:space="preserve">Foreign capital share in paid in capital has increased from </w:t>
            </w:r>
            <w:r w:rsidR="00B334B6">
              <w:rPr>
                <w:rFonts w:ascii="Century" w:hAnsi="Century"/>
                <w:color w:val="404040"/>
                <w:lang w:val="tr-TR"/>
              </w:rPr>
              <w:t>8</w:t>
            </w:r>
            <w:r w:rsidRPr="00CF3FF2">
              <w:rPr>
                <w:rFonts w:ascii="Century" w:hAnsi="Century"/>
                <w:color w:val="404040"/>
                <w:lang w:val="tr-TR"/>
              </w:rPr>
              <w:t xml:space="preserve">% to </w:t>
            </w:r>
            <w:r w:rsidR="00B334B6">
              <w:rPr>
                <w:rFonts w:ascii="Century" w:hAnsi="Century"/>
                <w:color w:val="404040"/>
                <w:lang w:val="tr-TR"/>
              </w:rPr>
              <w:t>38</w:t>
            </w:r>
            <w:r w:rsidRPr="00CF3FF2">
              <w:rPr>
                <w:rFonts w:ascii="Century" w:hAnsi="Century"/>
                <w:color w:val="404040"/>
                <w:lang w:val="tr-TR"/>
              </w:rPr>
              <w:t xml:space="preserve">% for non-life group companies and from </w:t>
            </w:r>
            <w:r w:rsidR="00B334B6">
              <w:rPr>
                <w:rFonts w:ascii="Century" w:hAnsi="Century"/>
                <w:color w:val="404040"/>
                <w:lang w:val="tr-TR"/>
              </w:rPr>
              <w:t>25</w:t>
            </w:r>
            <w:r w:rsidRPr="00CF3FF2">
              <w:rPr>
                <w:rFonts w:ascii="Century" w:hAnsi="Century"/>
                <w:color w:val="404040"/>
                <w:lang w:val="tr-TR"/>
              </w:rPr>
              <w:t xml:space="preserve">% to 38% for life/pension companies in </w:t>
            </w:r>
            <w:r w:rsidR="00B334B6">
              <w:rPr>
                <w:rFonts w:ascii="Century" w:hAnsi="Century"/>
                <w:color w:val="404040"/>
                <w:lang w:val="tr-TR"/>
              </w:rPr>
              <w:t>for last five y</w:t>
            </w:r>
            <w:r w:rsidRPr="00CF3FF2">
              <w:rPr>
                <w:rFonts w:ascii="Century" w:hAnsi="Century"/>
                <w:color w:val="404040"/>
                <w:lang w:val="tr-TR"/>
              </w:rPr>
              <w:t>ear</w:t>
            </w:r>
            <w:r w:rsidR="00B334B6">
              <w:rPr>
                <w:rFonts w:ascii="Century" w:hAnsi="Century"/>
                <w:color w:val="404040"/>
                <w:lang w:val="tr-TR"/>
              </w:rPr>
              <w:t>s.</w:t>
            </w:r>
            <w:r w:rsidR="005A00CF" w:rsidRPr="00CF3FF2">
              <w:rPr>
                <w:rFonts w:ascii="Century" w:hAnsi="Century"/>
                <w:color w:val="404040"/>
                <w:lang w:val="tr-TR"/>
              </w:rPr>
              <w:t xml:space="preserve"> Foreign capital share in total premium volume, parallel to the increase in paid in capital, has increased from </w:t>
            </w:r>
            <w:r w:rsidR="00B334B6">
              <w:rPr>
                <w:rFonts w:ascii="Century" w:hAnsi="Century"/>
                <w:color w:val="404040"/>
                <w:lang w:val="tr-TR"/>
              </w:rPr>
              <w:t>17</w:t>
            </w:r>
            <w:r w:rsidR="005A00CF" w:rsidRPr="00CF3FF2">
              <w:rPr>
                <w:rFonts w:ascii="Century" w:hAnsi="Century"/>
                <w:color w:val="404040"/>
                <w:lang w:val="tr-TR"/>
              </w:rPr>
              <w:t>% to 41%.</w:t>
            </w:r>
          </w:p>
          <w:p w:rsidR="003E3CB1" w:rsidRDefault="003E3CB1" w:rsidP="006D69E8">
            <w:pPr>
              <w:rPr>
                <w:rFonts w:ascii="Century" w:hAnsi="Century"/>
                <w:color w:val="404040"/>
                <w:lang w:val="tr-TR"/>
              </w:rPr>
            </w:pPr>
          </w:p>
          <w:p w:rsidR="00FE2C93" w:rsidRDefault="00FE2C93" w:rsidP="006D69E8">
            <w:pPr>
              <w:rPr>
                <w:rFonts w:ascii="Century" w:hAnsi="Century"/>
                <w:color w:val="404040"/>
                <w:lang w:val="tr-TR"/>
              </w:rPr>
            </w:pPr>
          </w:p>
          <w:p w:rsidR="00FE2C93" w:rsidRDefault="00FE2C93" w:rsidP="006D69E8">
            <w:pPr>
              <w:rPr>
                <w:rFonts w:ascii="Century" w:hAnsi="Century"/>
                <w:color w:val="404040"/>
                <w:lang w:val="tr-TR"/>
              </w:rPr>
            </w:pPr>
          </w:p>
          <w:p w:rsidR="003E3CB1" w:rsidRPr="00CF3FF2" w:rsidRDefault="00FE2C93" w:rsidP="009815A4">
            <w:pPr>
              <w:jc w:val="both"/>
              <w:rPr>
                <w:rFonts w:ascii="Century" w:hAnsi="Century"/>
                <w:color w:val="404040"/>
                <w:lang w:val="tr-TR"/>
              </w:rPr>
            </w:pPr>
            <w:r w:rsidRPr="00FE2C93">
              <w:rPr>
                <w:rFonts w:ascii="Century" w:hAnsi="Century"/>
                <w:color w:val="404040"/>
                <w:lang w:val="tr-TR"/>
              </w:rPr>
              <w:t>Development of share of foreign capital in paid in capital and premium volume for the last ten years is shown belown.</w:t>
            </w:r>
          </w:p>
        </w:tc>
      </w:tr>
      <w:tr w:rsidR="004605F7" w:rsidRPr="00367FA3">
        <w:trPr>
          <w:trHeight w:val="4725"/>
        </w:trPr>
        <w:tc>
          <w:tcPr>
            <w:tcW w:w="9855" w:type="dxa"/>
            <w:gridSpan w:val="5"/>
          </w:tcPr>
          <w:p w:rsidR="004605F7" w:rsidRPr="00B764E5" w:rsidRDefault="004605F7" w:rsidP="006D69E8">
            <w:pPr>
              <w:pStyle w:val="ResimYazs"/>
              <w:jc w:val="center"/>
              <w:rPr>
                <w:rFonts w:ascii="Century" w:hAnsi="Century"/>
                <w:b w:val="0"/>
                <w:i/>
                <w:lang w:val="tr-TR"/>
              </w:rPr>
            </w:pPr>
            <w:r w:rsidRPr="00B764E5">
              <w:rPr>
                <w:rFonts w:ascii="Century" w:hAnsi="Century"/>
                <w:lang w:val="tr-TR"/>
              </w:rPr>
              <w:t>Grafik 1.5</w:t>
            </w:r>
            <w:r w:rsidRPr="00B764E5">
              <w:rPr>
                <w:rFonts w:ascii="Century" w:hAnsi="Century"/>
                <w:lang w:val="tr-TR"/>
              </w:rPr>
              <w:noBreakHyphen/>
            </w:r>
            <w:r>
              <w:rPr>
                <w:rFonts w:ascii="Century" w:hAnsi="Century"/>
                <w:lang w:val="tr-TR"/>
              </w:rPr>
              <w:t>2</w:t>
            </w:r>
            <w:r w:rsidRPr="00B764E5">
              <w:rPr>
                <w:rFonts w:ascii="Century" w:hAnsi="Century"/>
                <w:lang w:val="tr-TR"/>
              </w:rPr>
              <w:t xml:space="preserve">; </w:t>
            </w:r>
            <w:r>
              <w:rPr>
                <w:rFonts w:ascii="Century" w:hAnsi="Century"/>
                <w:lang w:val="tr-TR"/>
              </w:rPr>
              <w:t>Yabancı Payı Gelişimi</w:t>
            </w:r>
            <w:r w:rsidRPr="00B764E5">
              <w:rPr>
                <w:rFonts w:ascii="Century" w:hAnsi="Century"/>
                <w:lang w:val="tr-TR"/>
              </w:rPr>
              <w:t xml:space="preserve"> – </w:t>
            </w:r>
            <w:r w:rsidRPr="00022FA0">
              <w:rPr>
                <w:rFonts w:ascii="Century" w:hAnsi="Century"/>
                <w:b w:val="0"/>
                <w:i/>
                <w:sz w:val="18"/>
                <w:szCs w:val="18"/>
                <w:lang w:val="tr-TR"/>
              </w:rPr>
              <w:t>Foreign Partners Share</w:t>
            </w:r>
          </w:p>
          <w:p w:rsidR="004605F7" w:rsidRPr="00A611D9" w:rsidRDefault="00A611D9" w:rsidP="0091475B">
            <w:pPr>
              <w:jc w:val="center"/>
              <w:rPr>
                <w:rFonts w:ascii="Century" w:hAnsi="Century"/>
                <w:b/>
                <w:color w:val="1C1C1C"/>
                <w:lang w:val="tr-TR"/>
              </w:rPr>
            </w:pPr>
            <w:r w:rsidRPr="00A611D9">
              <w:rPr>
                <w:rFonts w:ascii="Century" w:hAnsi="Century"/>
                <w:b/>
                <w:color w:val="1C1C1C"/>
                <w:lang w:val="tr-TR"/>
              </w:rPr>
              <w:pict>
                <v:shape id="_x0000_i1041" type="#_x0000_t75" style="width:466.5pt;height:231pt">
                  <v:imagedata r:id="rId31" o:title=""/>
                </v:shape>
              </w:pict>
            </w:r>
          </w:p>
        </w:tc>
      </w:tr>
      <w:tr w:rsidR="004605F7" w:rsidRPr="00367FA3">
        <w:tc>
          <w:tcPr>
            <w:tcW w:w="4815" w:type="dxa"/>
            <w:gridSpan w:val="2"/>
          </w:tcPr>
          <w:p w:rsidR="004605F7" w:rsidRPr="00607396" w:rsidRDefault="004605F7" w:rsidP="004605F7">
            <w:pPr>
              <w:pStyle w:val="Balk3"/>
              <w:numPr>
                <w:ilvl w:val="2"/>
                <w:numId w:val="1"/>
              </w:numPr>
              <w:spacing w:before="0" w:after="0"/>
              <w:ind w:left="0"/>
              <w:jc w:val="both"/>
              <w:rPr>
                <w:rFonts w:ascii="Century" w:hAnsi="Century"/>
                <w:sz w:val="24"/>
                <w:szCs w:val="24"/>
                <w:lang w:val="tr-TR"/>
              </w:rPr>
            </w:pPr>
            <w:bookmarkStart w:id="35" w:name="_Toc199251243"/>
            <w:r w:rsidRPr="00607396">
              <w:rPr>
                <w:rFonts w:ascii="Century" w:hAnsi="Century"/>
                <w:sz w:val="24"/>
                <w:szCs w:val="24"/>
                <w:lang w:val="tr-TR"/>
              </w:rPr>
              <w:lastRenderedPageBreak/>
              <w:t>Bireysel Emeklilik Faaliyetlerine İlişkin Göstergeler</w:t>
            </w:r>
            <w:bookmarkEnd w:id="35"/>
          </w:p>
          <w:p w:rsidR="004605F7" w:rsidRPr="00607396" w:rsidRDefault="004605F7" w:rsidP="006D69E8">
            <w:pPr>
              <w:jc w:val="both"/>
              <w:rPr>
                <w:rFonts w:ascii="Century" w:hAnsi="Century"/>
                <w:lang w:val="tr-TR"/>
              </w:rPr>
            </w:pPr>
          </w:p>
          <w:p w:rsidR="004605F7" w:rsidRPr="00607396" w:rsidRDefault="004605F7" w:rsidP="006D69E8">
            <w:pPr>
              <w:jc w:val="both"/>
              <w:rPr>
                <w:rFonts w:ascii="Century" w:hAnsi="Century"/>
                <w:lang w:val="tr-TR"/>
              </w:rPr>
            </w:pPr>
            <w:r w:rsidRPr="00607396">
              <w:rPr>
                <w:rFonts w:ascii="Century" w:hAnsi="Century"/>
                <w:lang w:val="tr-TR"/>
              </w:rPr>
              <w:t>07.04.2001 tarih ve 4632 sayılı Bireysel Emeklilik Tasarruf ve Yatırım Sistemi Kanunu ile kurulan bireysel emeklilik sistemi 27.10.2003 tarihinde faaliyete geçmiştir. 200</w:t>
            </w:r>
            <w:r>
              <w:rPr>
                <w:rFonts w:ascii="Century" w:hAnsi="Century"/>
                <w:lang w:val="tr-TR"/>
              </w:rPr>
              <w:t>7</w:t>
            </w:r>
            <w:r w:rsidRPr="00607396">
              <w:rPr>
                <w:rFonts w:ascii="Century" w:hAnsi="Century"/>
                <w:lang w:val="tr-TR"/>
              </w:rPr>
              <w:t xml:space="preserve"> yıl sonu itibariyle bu alanda mevcut on emeklilik şirketinden </w:t>
            </w:r>
            <w:r>
              <w:rPr>
                <w:rFonts w:ascii="Century" w:hAnsi="Century"/>
                <w:lang w:val="tr-TR"/>
              </w:rPr>
              <w:t>9</w:t>
            </w:r>
            <w:r w:rsidRPr="00607396">
              <w:rPr>
                <w:rFonts w:ascii="Century" w:hAnsi="Century"/>
                <w:lang w:val="tr-TR"/>
              </w:rPr>
              <w:t>’u hayat ve bireysel emeklilik alanlarında birlikte faaliyet gösterirken, 1’i sadece emeklilik alanında faaliyette bulunmaktadır.</w:t>
            </w:r>
          </w:p>
          <w:p w:rsidR="004605F7" w:rsidRPr="00D73638" w:rsidRDefault="004605F7" w:rsidP="006D69E8">
            <w:pPr>
              <w:jc w:val="both"/>
              <w:rPr>
                <w:rFonts w:ascii="Century" w:hAnsi="Century"/>
                <w:sz w:val="20"/>
                <w:szCs w:val="20"/>
                <w:lang w:val="tr-TR"/>
              </w:rPr>
            </w:pPr>
          </w:p>
          <w:p w:rsidR="004605F7" w:rsidRPr="00607396" w:rsidRDefault="004605F7" w:rsidP="006D69E8">
            <w:pPr>
              <w:jc w:val="both"/>
              <w:rPr>
                <w:rFonts w:ascii="Century" w:hAnsi="Century"/>
                <w:lang w:val="tr-TR"/>
              </w:rPr>
            </w:pPr>
            <w:r w:rsidRPr="00607396">
              <w:rPr>
                <w:rFonts w:ascii="Century" w:hAnsi="Century"/>
                <w:lang w:val="tr-TR"/>
              </w:rPr>
              <w:t>Bireysel emeklilik faaliyetlerine ilişkin detaylı veriler Rapor’un Tablolar kısmında (Tablo 4</w:t>
            </w:r>
            <w:r>
              <w:rPr>
                <w:rFonts w:ascii="Century" w:hAnsi="Century"/>
                <w:lang w:val="tr-TR"/>
              </w:rPr>
              <w:t>3</w:t>
            </w:r>
            <w:r w:rsidRPr="00607396">
              <w:rPr>
                <w:rFonts w:ascii="Century" w:hAnsi="Century"/>
                <w:lang w:val="tr-TR"/>
              </w:rPr>
              <w:t>-4</w:t>
            </w:r>
            <w:r>
              <w:rPr>
                <w:rFonts w:ascii="Century" w:hAnsi="Century"/>
                <w:lang w:val="tr-TR"/>
              </w:rPr>
              <w:t>7</w:t>
            </w:r>
            <w:r w:rsidRPr="00607396">
              <w:rPr>
                <w:rFonts w:ascii="Century" w:hAnsi="Century"/>
                <w:lang w:val="tr-TR"/>
              </w:rPr>
              <w:t>) verilmiştir.</w:t>
            </w:r>
          </w:p>
          <w:p w:rsidR="004605F7" w:rsidRPr="00607396" w:rsidRDefault="004605F7" w:rsidP="006D69E8">
            <w:pPr>
              <w:jc w:val="both"/>
              <w:rPr>
                <w:rFonts w:ascii="Century" w:hAnsi="Century"/>
                <w:lang w:val="tr-TR"/>
              </w:rPr>
            </w:pPr>
          </w:p>
          <w:p w:rsidR="004605F7" w:rsidRPr="00607396" w:rsidRDefault="004605F7" w:rsidP="006D69E8">
            <w:pPr>
              <w:jc w:val="both"/>
              <w:rPr>
                <w:rFonts w:ascii="Century" w:hAnsi="Century"/>
                <w:lang w:val="tr-TR"/>
              </w:rPr>
            </w:pPr>
            <w:r w:rsidRPr="000E3FFF">
              <w:rPr>
                <w:rFonts w:ascii="Century" w:hAnsi="Century"/>
                <w:lang w:val="tr-TR"/>
              </w:rPr>
              <w:t>2007 yıl sonu itibariyle 10 emeklilik şirketinde 103 adet fon ve katılımcılara değişik seçenekler sunan 975 adet plan bulunmaktadır.</w:t>
            </w:r>
            <w:r w:rsidRPr="00607396">
              <w:rPr>
                <w:rFonts w:ascii="Century" w:hAnsi="Century"/>
                <w:lang w:val="tr-TR"/>
              </w:rPr>
              <w:t xml:space="preserve"> </w:t>
            </w:r>
          </w:p>
          <w:p w:rsidR="004605F7" w:rsidRPr="00D73638" w:rsidRDefault="004605F7" w:rsidP="006D69E8">
            <w:pPr>
              <w:rPr>
                <w:rFonts w:ascii="Century" w:hAnsi="Century"/>
                <w:sz w:val="20"/>
                <w:szCs w:val="20"/>
                <w:highlight w:val="yellow"/>
                <w:lang w:val="tr-TR"/>
              </w:rPr>
            </w:pPr>
          </w:p>
        </w:tc>
        <w:tc>
          <w:tcPr>
            <w:tcW w:w="236" w:type="dxa"/>
            <w:gridSpan w:val="2"/>
          </w:tcPr>
          <w:p w:rsidR="004605F7" w:rsidRPr="00367FA3" w:rsidRDefault="004605F7" w:rsidP="006D69E8">
            <w:pPr>
              <w:rPr>
                <w:rFonts w:ascii="Century" w:hAnsi="Century"/>
                <w:highlight w:val="yellow"/>
                <w:lang w:val="tr-TR"/>
              </w:rPr>
            </w:pPr>
          </w:p>
        </w:tc>
        <w:tc>
          <w:tcPr>
            <w:tcW w:w="4804" w:type="dxa"/>
          </w:tcPr>
          <w:p w:rsidR="004605F7" w:rsidRPr="00CF3FF2" w:rsidRDefault="004605F7" w:rsidP="006D69E8">
            <w:pPr>
              <w:jc w:val="both"/>
              <w:rPr>
                <w:rFonts w:ascii="Century" w:hAnsi="Century"/>
                <w:b/>
                <w:color w:val="404040"/>
                <w:lang w:val="tr-TR"/>
              </w:rPr>
            </w:pPr>
            <w:r w:rsidRPr="00CF3FF2">
              <w:rPr>
                <w:rFonts w:ascii="Century" w:hAnsi="Century"/>
                <w:b/>
                <w:color w:val="404040"/>
                <w:lang w:val="tr-TR"/>
              </w:rPr>
              <w:t>1.3.3. Indicators of Private Pension Activities</w:t>
            </w:r>
          </w:p>
          <w:p w:rsidR="004605F7" w:rsidRPr="00CF3FF2" w:rsidRDefault="004605F7" w:rsidP="006D69E8">
            <w:pPr>
              <w:rPr>
                <w:color w:val="404040"/>
                <w:lang w:val="tr-TR"/>
              </w:rPr>
            </w:pPr>
          </w:p>
          <w:p w:rsidR="004605F7" w:rsidRPr="00CF3FF2" w:rsidRDefault="004605F7" w:rsidP="006D69E8">
            <w:pPr>
              <w:jc w:val="both"/>
              <w:rPr>
                <w:rFonts w:ascii="Century" w:hAnsi="Century"/>
                <w:color w:val="404040"/>
              </w:rPr>
            </w:pPr>
            <w:r w:rsidRPr="00CF3FF2">
              <w:rPr>
                <w:rFonts w:ascii="Century" w:hAnsi="Century"/>
                <w:color w:val="404040"/>
              </w:rPr>
              <w:t xml:space="preserve">Private Pension System which was founded by the Law dated </w:t>
            </w:r>
            <w:smartTag w:uri="urn:schemas-microsoft-com:office:smarttags" w:element="date">
              <w:smartTagPr>
                <w:attr w:name="Year" w:val="2001"/>
                <w:attr w:name="Day" w:val="7"/>
                <w:attr w:name="Month" w:val="4"/>
              </w:smartTagPr>
              <w:r w:rsidRPr="00CF3FF2">
                <w:rPr>
                  <w:rFonts w:ascii="Century" w:hAnsi="Century"/>
                  <w:color w:val="404040"/>
                </w:rPr>
                <w:t>April 07, 2001</w:t>
              </w:r>
            </w:smartTag>
            <w:r w:rsidRPr="00CF3FF2">
              <w:rPr>
                <w:rFonts w:ascii="Century" w:hAnsi="Century"/>
                <w:color w:val="404040"/>
              </w:rPr>
              <w:t xml:space="preserve"> and numbered 4632, was activated on </w:t>
            </w:r>
            <w:smartTag w:uri="urn:schemas-microsoft-com:office:smarttags" w:element="date">
              <w:smartTagPr>
                <w:attr w:name="Year" w:val="2003"/>
                <w:attr w:name="Day" w:val="27"/>
                <w:attr w:name="Month" w:val="10"/>
              </w:smartTagPr>
              <w:r w:rsidRPr="00CF3FF2">
                <w:rPr>
                  <w:rFonts w:ascii="Century" w:hAnsi="Century"/>
                  <w:color w:val="404040"/>
                </w:rPr>
                <w:t>October 27, 2003</w:t>
              </w:r>
            </w:smartTag>
            <w:r w:rsidRPr="00CF3FF2">
              <w:rPr>
                <w:rFonts w:ascii="Century" w:hAnsi="Century"/>
                <w:color w:val="404040"/>
              </w:rPr>
              <w:t>. At the end of the year of 2006, there are 1</w:t>
            </w:r>
            <w:r w:rsidR="00CE2834">
              <w:rPr>
                <w:rFonts w:ascii="Century" w:hAnsi="Century"/>
                <w:color w:val="404040"/>
              </w:rPr>
              <w:t>0</w:t>
            </w:r>
            <w:r w:rsidRPr="00CF3FF2">
              <w:rPr>
                <w:rFonts w:ascii="Century" w:hAnsi="Century"/>
                <w:color w:val="404040"/>
              </w:rPr>
              <w:t xml:space="preserve"> companies in the system. While </w:t>
            </w:r>
            <w:r w:rsidR="00CE2834">
              <w:rPr>
                <w:rFonts w:ascii="Century" w:hAnsi="Century"/>
                <w:color w:val="404040"/>
              </w:rPr>
              <w:t>9</w:t>
            </w:r>
            <w:r w:rsidRPr="00CF3FF2">
              <w:rPr>
                <w:rFonts w:ascii="Century" w:hAnsi="Century"/>
                <w:color w:val="404040"/>
              </w:rPr>
              <w:t xml:space="preserve"> of these companies also produce life insurance policies, only one company works as pure pension company. </w:t>
            </w:r>
          </w:p>
          <w:p w:rsidR="004605F7" w:rsidRPr="00CF3FF2" w:rsidRDefault="004605F7" w:rsidP="006D69E8">
            <w:pPr>
              <w:rPr>
                <w:color w:val="404040"/>
                <w:lang w:val="tr-TR"/>
              </w:rPr>
            </w:pPr>
          </w:p>
          <w:p w:rsidR="004605F7" w:rsidRPr="00CF3FF2" w:rsidRDefault="004605F7" w:rsidP="006D69E8">
            <w:pPr>
              <w:rPr>
                <w:rFonts w:ascii="Century" w:hAnsi="Century"/>
                <w:color w:val="404040"/>
                <w:sz w:val="20"/>
                <w:szCs w:val="20"/>
                <w:lang w:val="tr-TR"/>
              </w:rPr>
            </w:pPr>
          </w:p>
          <w:p w:rsidR="004605F7" w:rsidRPr="00CF3FF2" w:rsidRDefault="004605F7" w:rsidP="006D69E8">
            <w:pPr>
              <w:jc w:val="both"/>
              <w:rPr>
                <w:rFonts w:ascii="Century" w:hAnsi="Century"/>
                <w:color w:val="404040"/>
              </w:rPr>
            </w:pPr>
            <w:r w:rsidRPr="00CF3FF2">
              <w:rPr>
                <w:rFonts w:ascii="Century" w:hAnsi="Century"/>
                <w:color w:val="404040"/>
              </w:rPr>
              <w:t xml:space="preserve">Detailed data about private pension activities is shown in the chapter named “Tables” of the Report (Tables 43-47). </w:t>
            </w:r>
          </w:p>
          <w:p w:rsidR="004605F7" w:rsidRPr="00CF3FF2" w:rsidRDefault="004605F7" w:rsidP="006D69E8">
            <w:pPr>
              <w:rPr>
                <w:rFonts w:ascii="Century" w:hAnsi="Century"/>
                <w:color w:val="404040"/>
                <w:lang w:val="tr-TR"/>
              </w:rPr>
            </w:pPr>
          </w:p>
          <w:p w:rsidR="004605F7" w:rsidRPr="00CF3FF2" w:rsidRDefault="004605F7" w:rsidP="006D69E8">
            <w:pPr>
              <w:jc w:val="both"/>
              <w:rPr>
                <w:rFonts w:ascii="Century" w:hAnsi="Century"/>
                <w:color w:val="404040"/>
              </w:rPr>
            </w:pPr>
            <w:r w:rsidRPr="00CF3FF2">
              <w:rPr>
                <w:rFonts w:ascii="Century" w:hAnsi="Century"/>
                <w:color w:val="404040"/>
              </w:rPr>
              <w:t xml:space="preserve">Total of 103 funds and 975 plans are offered to participants by 10 pension companies as at </w:t>
            </w:r>
            <w:smartTag w:uri="urn:schemas-microsoft-com:office:smarttags" w:element="date">
              <w:smartTagPr>
                <w:attr w:name="Year" w:val="2007"/>
                <w:attr w:name="Day" w:val="31"/>
                <w:attr w:name="Month" w:val="12"/>
              </w:smartTagPr>
              <w:r w:rsidRPr="00CF3FF2">
                <w:rPr>
                  <w:rFonts w:ascii="Century" w:hAnsi="Century"/>
                  <w:color w:val="404040"/>
                </w:rPr>
                <w:t>December 31, 2007</w:t>
              </w:r>
            </w:smartTag>
            <w:r w:rsidRPr="00CF3FF2">
              <w:rPr>
                <w:rFonts w:ascii="Century" w:hAnsi="Century"/>
                <w:color w:val="404040"/>
              </w:rPr>
              <w:t>.</w:t>
            </w:r>
          </w:p>
          <w:p w:rsidR="004605F7" w:rsidRPr="00367FA3" w:rsidRDefault="004605F7" w:rsidP="006D69E8">
            <w:pPr>
              <w:rPr>
                <w:rFonts w:ascii="Century" w:hAnsi="Century"/>
                <w:highlight w:val="yellow"/>
                <w:lang w:val="tr-TR"/>
              </w:rPr>
            </w:pPr>
          </w:p>
        </w:tc>
      </w:tr>
      <w:tr w:rsidR="004649B1" w:rsidRPr="00367FA3">
        <w:tc>
          <w:tcPr>
            <w:tcW w:w="9855" w:type="dxa"/>
            <w:gridSpan w:val="5"/>
          </w:tcPr>
          <w:p w:rsidR="004649B1" w:rsidRPr="00D45B67" w:rsidRDefault="004649B1" w:rsidP="00D96FCE">
            <w:pPr>
              <w:pStyle w:val="ResimYazs"/>
              <w:jc w:val="center"/>
              <w:rPr>
                <w:rFonts w:ascii="Century" w:hAnsi="Century"/>
                <w:lang w:val="tr-TR"/>
              </w:rPr>
            </w:pPr>
            <w:bookmarkStart w:id="36" w:name="_Toc170665530"/>
            <w:r w:rsidRPr="00D45B67">
              <w:rPr>
                <w:rFonts w:ascii="Century" w:hAnsi="Century"/>
                <w:lang w:val="tr-TR"/>
              </w:rPr>
              <w:t xml:space="preserve">Tablo </w:t>
            </w:r>
            <w:r w:rsidRPr="00D45B67">
              <w:rPr>
                <w:rFonts w:ascii="Century" w:hAnsi="Century"/>
                <w:lang w:val="tr-TR"/>
              </w:rPr>
              <w:fldChar w:fldCharType="begin"/>
            </w:r>
            <w:r w:rsidRPr="00D45B67">
              <w:rPr>
                <w:rFonts w:ascii="Century" w:hAnsi="Century"/>
                <w:lang w:val="tr-TR"/>
              </w:rPr>
              <w:instrText xml:space="preserve"> STYLEREF 2 \s </w:instrText>
            </w:r>
            <w:r w:rsidRPr="00D45B67">
              <w:rPr>
                <w:rFonts w:ascii="Century" w:hAnsi="Century"/>
                <w:lang w:val="tr-TR"/>
              </w:rPr>
              <w:fldChar w:fldCharType="separate"/>
            </w:r>
            <w:r w:rsidR="00DA718E">
              <w:rPr>
                <w:rFonts w:ascii="Century" w:hAnsi="Century"/>
                <w:noProof/>
                <w:lang w:val="tr-TR"/>
              </w:rPr>
              <w:t>1.3</w:t>
            </w:r>
            <w:r w:rsidRPr="00D45B67">
              <w:rPr>
                <w:rFonts w:ascii="Century" w:hAnsi="Century"/>
                <w:lang w:val="tr-TR"/>
              </w:rPr>
              <w:fldChar w:fldCharType="end"/>
            </w:r>
            <w:r w:rsidRPr="00D45B67">
              <w:rPr>
                <w:rFonts w:ascii="Century" w:hAnsi="Century"/>
                <w:lang w:val="tr-TR"/>
              </w:rPr>
              <w:noBreakHyphen/>
            </w:r>
            <w:r w:rsidRPr="00D45B67">
              <w:rPr>
                <w:rFonts w:ascii="Century" w:hAnsi="Century"/>
                <w:lang w:val="tr-TR"/>
              </w:rPr>
              <w:fldChar w:fldCharType="begin"/>
            </w:r>
            <w:r w:rsidRPr="00D45B67">
              <w:rPr>
                <w:rFonts w:ascii="Century" w:hAnsi="Century"/>
                <w:lang w:val="tr-TR"/>
              </w:rPr>
              <w:instrText xml:space="preserve"> SEQ Tablo \* ARABIC \s 2 </w:instrText>
            </w:r>
            <w:r w:rsidRPr="00D45B67">
              <w:rPr>
                <w:rFonts w:ascii="Century" w:hAnsi="Century"/>
                <w:lang w:val="tr-TR"/>
              </w:rPr>
              <w:fldChar w:fldCharType="separate"/>
            </w:r>
            <w:r w:rsidR="00DA718E">
              <w:rPr>
                <w:rFonts w:ascii="Century" w:hAnsi="Century"/>
                <w:noProof/>
                <w:lang w:val="tr-TR"/>
              </w:rPr>
              <w:t>5</w:t>
            </w:r>
            <w:r w:rsidRPr="00D45B67">
              <w:rPr>
                <w:rFonts w:ascii="Century" w:hAnsi="Century"/>
                <w:lang w:val="tr-TR"/>
              </w:rPr>
              <w:fldChar w:fldCharType="end"/>
            </w:r>
            <w:r w:rsidRPr="00D45B67">
              <w:rPr>
                <w:rFonts w:ascii="Century" w:hAnsi="Century"/>
                <w:lang w:val="tr-TR"/>
              </w:rPr>
              <w:t xml:space="preserve">; </w:t>
            </w:r>
            <w:r w:rsidRPr="00D45B67">
              <w:rPr>
                <w:rFonts w:ascii="Century" w:hAnsi="Century"/>
                <w:bCs w:val="0"/>
                <w:lang w:val="tr-TR"/>
              </w:rPr>
              <w:t xml:space="preserve">Bireysel Emeklilik Şirketleri Genel Verileri - </w:t>
            </w:r>
            <w:r w:rsidRPr="00D45B67">
              <w:rPr>
                <w:rFonts w:ascii="Century" w:hAnsi="Century"/>
                <w:b w:val="0"/>
                <w:i/>
                <w:iCs/>
                <w:lang w:val="tr-TR"/>
              </w:rPr>
              <w:t>Pension Companies General Data</w:t>
            </w:r>
            <w:bookmarkEnd w:id="36"/>
          </w:p>
          <w:p w:rsidR="004649B1" w:rsidRPr="00D45B67" w:rsidRDefault="00D45B67" w:rsidP="00D96FCE">
            <w:pPr>
              <w:jc w:val="center"/>
              <w:rPr>
                <w:rFonts w:ascii="Century" w:hAnsi="Century"/>
                <w:lang w:val="tr-TR"/>
              </w:rPr>
            </w:pPr>
            <w:r w:rsidRPr="00D45B67">
              <w:rPr>
                <w:rFonts w:ascii="Century" w:hAnsi="Century"/>
                <w:lang w:val="tr-TR"/>
              </w:rPr>
              <w:pict>
                <v:shape id="_x0000_i1042" type="#_x0000_t75" style="width:235.5pt;height:51.75pt">
                  <v:imagedata r:id="rId32" o:title=""/>
                </v:shape>
              </w:pict>
            </w:r>
          </w:p>
          <w:p w:rsidR="00EE2CFE" w:rsidRPr="00D73638" w:rsidRDefault="00EE2CFE" w:rsidP="008D17FE">
            <w:pPr>
              <w:rPr>
                <w:rFonts w:ascii="Century" w:hAnsi="Century"/>
                <w:sz w:val="20"/>
                <w:szCs w:val="20"/>
                <w:highlight w:val="yellow"/>
                <w:lang w:val="tr-TR"/>
              </w:rPr>
            </w:pPr>
          </w:p>
        </w:tc>
      </w:tr>
      <w:tr w:rsidR="004649B1" w:rsidRPr="00367FA3">
        <w:tc>
          <w:tcPr>
            <w:tcW w:w="4815" w:type="dxa"/>
            <w:gridSpan w:val="2"/>
          </w:tcPr>
          <w:p w:rsidR="004649B1" w:rsidRPr="007223B0" w:rsidRDefault="004649B1" w:rsidP="008D17FE">
            <w:pPr>
              <w:jc w:val="both"/>
              <w:rPr>
                <w:rFonts w:ascii="Century" w:hAnsi="Century"/>
                <w:lang w:val="tr-TR"/>
              </w:rPr>
            </w:pPr>
            <w:r w:rsidRPr="007223B0">
              <w:rPr>
                <w:rFonts w:ascii="Century" w:hAnsi="Century"/>
                <w:lang w:val="tr-TR"/>
              </w:rPr>
              <w:t>Bireysel emeklilik sektörü hızlı büyüyen</w:t>
            </w:r>
            <w:r w:rsidR="007223B0" w:rsidRPr="007223B0">
              <w:rPr>
                <w:rFonts w:ascii="Century" w:hAnsi="Century"/>
                <w:lang w:val="tr-TR"/>
              </w:rPr>
              <w:t xml:space="preserve"> bir eğilim göstermektedir. 2007</w:t>
            </w:r>
            <w:r w:rsidRPr="007223B0">
              <w:rPr>
                <w:rFonts w:ascii="Century" w:hAnsi="Century"/>
                <w:lang w:val="tr-TR"/>
              </w:rPr>
              <w:t xml:space="preserve"> yılında sözleşme sayısındaki %</w:t>
            </w:r>
            <w:r w:rsidR="0042127E" w:rsidRPr="007223B0">
              <w:rPr>
                <w:rFonts w:ascii="Century" w:hAnsi="Century"/>
                <w:lang w:val="tr-TR"/>
              </w:rPr>
              <w:t xml:space="preserve"> </w:t>
            </w:r>
            <w:r w:rsidR="007223B0" w:rsidRPr="007223B0">
              <w:rPr>
                <w:rFonts w:ascii="Century" w:hAnsi="Century"/>
                <w:lang w:val="tr-TR"/>
              </w:rPr>
              <w:t>32</w:t>
            </w:r>
            <w:r w:rsidR="00034F76" w:rsidRPr="007223B0">
              <w:rPr>
                <w:rFonts w:ascii="Century" w:hAnsi="Century"/>
                <w:lang w:val="tr-TR"/>
              </w:rPr>
              <w:t xml:space="preserve"> oranında</w:t>
            </w:r>
            <w:r w:rsidRPr="007223B0">
              <w:rPr>
                <w:rFonts w:ascii="Century" w:hAnsi="Century"/>
                <w:lang w:val="tr-TR"/>
              </w:rPr>
              <w:t xml:space="preserve"> artışa karşın, birikim tutarı ve katkı payı tutarındaki artış </w:t>
            </w:r>
            <w:r w:rsidR="007223B0" w:rsidRPr="007223B0">
              <w:rPr>
                <w:rFonts w:ascii="Century" w:hAnsi="Century"/>
                <w:lang w:val="tr-TR"/>
              </w:rPr>
              <w:t xml:space="preserve">sırasıyla %62 ve </w:t>
            </w:r>
            <w:r w:rsidRPr="007223B0">
              <w:rPr>
                <w:rFonts w:ascii="Century" w:hAnsi="Century"/>
                <w:lang w:val="tr-TR"/>
              </w:rPr>
              <w:t>%</w:t>
            </w:r>
            <w:r w:rsidR="007223B0" w:rsidRPr="007223B0">
              <w:rPr>
                <w:rFonts w:ascii="Century" w:hAnsi="Century"/>
                <w:lang w:val="tr-TR"/>
              </w:rPr>
              <w:t>71</w:t>
            </w:r>
            <w:r w:rsidRPr="007223B0">
              <w:rPr>
                <w:rFonts w:ascii="Century" w:hAnsi="Century"/>
                <w:lang w:val="tr-TR"/>
              </w:rPr>
              <w:t xml:space="preserve"> olarak gerçekleşmiştir.</w:t>
            </w:r>
            <w:r w:rsidRPr="007223B0">
              <w:rPr>
                <w:rFonts w:ascii="Century" w:hAnsi="Century" w:cs="Arial"/>
                <w:lang w:val="tr-TR" w:eastAsia="tr-TR"/>
              </w:rPr>
              <w:t xml:space="preserve"> </w:t>
            </w:r>
            <w:r w:rsidR="00EB2718" w:rsidRPr="007223B0">
              <w:rPr>
                <w:rFonts w:ascii="Century" w:hAnsi="Century" w:cs="Arial"/>
                <w:lang w:val="tr-TR" w:eastAsia="tr-TR"/>
              </w:rPr>
              <w:t xml:space="preserve">Mevcut </w:t>
            </w:r>
            <w:r w:rsidRPr="007223B0">
              <w:rPr>
                <w:rFonts w:ascii="Century" w:hAnsi="Century"/>
                <w:lang w:val="tr-TR"/>
              </w:rPr>
              <w:t xml:space="preserve">sözleşmelerin bireysel ve grup dağılımı </w:t>
            </w:r>
            <w:r w:rsidR="00EB2718" w:rsidRPr="007223B0">
              <w:rPr>
                <w:rFonts w:ascii="Century" w:hAnsi="Century"/>
                <w:lang w:val="tr-TR"/>
              </w:rPr>
              <w:t>incelendiğinde</w:t>
            </w:r>
            <w:r w:rsidR="00034F76" w:rsidRPr="007223B0">
              <w:rPr>
                <w:rFonts w:ascii="Century" w:hAnsi="Century"/>
                <w:lang w:val="tr-TR"/>
              </w:rPr>
              <w:t xml:space="preserve"> ise</w:t>
            </w:r>
            <w:r w:rsidR="00EB2718" w:rsidRPr="007223B0">
              <w:rPr>
                <w:rFonts w:ascii="Century" w:hAnsi="Century"/>
                <w:lang w:val="tr-TR"/>
              </w:rPr>
              <w:t>,</w:t>
            </w:r>
            <w:r w:rsidRPr="007223B0">
              <w:rPr>
                <w:rFonts w:ascii="Century" w:hAnsi="Century"/>
                <w:lang w:val="tr-TR"/>
              </w:rPr>
              <w:t xml:space="preserve"> sistemin yaklaşık %</w:t>
            </w:r>
            <w:r w:rsidR="0042127E" w:rsidRPr="007223B0">
              <w:rPr>
                <w:rFonts w:ascii="Century" w:hAnsi="Century"/>
                <w:lang w:val="tr-TR"/>
              </w:rPr>
              <w:t xml:space="preserve"> </w:t>
            </w:r>
            <w:r w:rsidRPr="007223B0">
              <w:rPr>
                <w:rFonts w:ascii="Century" w:hAnsi="Century"/>
                <w:lang w:val="tr-TR"/>
              </w:rPr>
              <w:t>77’sini</w:t>
            </w:r>
            <w:r w:rsidR="00EB2718" w:rsidRPr="007223B0">
              <w:rPr>
                <w:rFonts w:ascii="Century" w:hAnsi="Century"/>
                <w:lang w:val="tr-TR"/>
              </w:rPr>
              <w:t>n</w:t>
            </w:r>
            <w:r w:rsidRPr="007223B0">
              <w:rPr>
                <w:rFonts w:ascii="Century" w:hAnsi="Century"/>
                <w:lang w:val="tr-TR"/>
              </w:rPr>
              <w:t xml:space="preserve"> bireysel katılımcılar</w:t>
            </w:r>
            <w:r w:rsidR="00C03E2D" w:rsidRPr="007223B0">
              <w:rPr>
                <w:rFonts w:ascii="Century" w:hAnsi="Century"/>
                <w:lang w:val="tr-TR"/>
              </w:rPr>
              <w:t>dan</w:t>
            </w:r>
            <w:r w:rsidRPr="007223B0">
              <w:rPr>
                <w:rFonts w:ascii="Century" w:hAnsi="Century"/>
                <w:lang w:val="tr-TR"/>
              </w:rPr>
              <w:t>, %</w:t>
            </w:r>
            <w:r w:rsidR="0042127E" w:rsidRPr="007223B0">
              <w:rPr>
                <w:rFonts w:ascii="Century" w:hAnsi="Century"/>
                <w:lang w:val="tr-TR"/>
              </w:rPr>
              <w:t xml:space="preserve"> </w:t>
            </w:r>
            <w:r w:rsidRPr="007223B0">
              <w:rPr>
                <w:rFonts w:ascii="Century" w:hAnsi="Century"/>
                <w:lang w:val="tr-TR"/>
              </w:rPr>
              <w:t>23’ünü</w:t>
            </w:r>
            <w:r w:rsidR="00EB2718" w:rsidRPr="007223B0">
              <w:rPr>
                <w:rFonts w:ascii="Century" w:hAnsi="Century"/>
                <w:lang w:val="tr-TR"/>
              </w:rPr>
              <w:t xml:space="preserve">n </w:t>
            </w:r>
            <w:r w:rsidR="00034F76" w:rsidRPr="007223B0">
              <w:rPr>
                <w:rFonts w:ascii="Century" w:hAnsi="Century"/>
                <w:lang w:val="tr-TR"/>
              </w:rPr>
              <w:t>de</w:t>
            </w:r>
            <w:r w:rsidRPr="007223B0">
              <w:rPr>
                <w:rFonts w:ascii="Century" w:hAnsi="Century"/>
                <w:lang w:val="tr-TR"/>
              </w:rPr>
              <w:t xml:space="preserve"> grup katılımcılar</w:t>
            </w:r>
            <w:r w:rsidR="00EB2718" w:rsidRPr="007223B0">
              <w:rPr>
                <w:rFonts w:ascii="Century" w:hAnsi="Century"/>
                <w:lang w:val="tr-TR"/>
              </w:rPr>
              <w:t>dan oluştuğu görülmektedir.</w:t>
            </w:r>
          </w:p>
          <w:p w:rsidR="007223B0" w:rsidRPr="00367FA3" w:rsidRDefault="007223B0"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EF1EC0" w:rsidRPr="00CF3FF2" w:rsidRDefault="00EF1EC0" w:rsidP="00EF1EC0">
            <w:pPr>
              <w:jc w:val="both"/>
              <w:rPr>
                <w:rFonts w:ascii="Century" w:hAnsi="Century"/>
                <w:color w:val="404040"/>
              </w:rPr>
            </w:pPr>
            <w:r w:rsidRPr="00CF3FF2">
              <w:rPr>
                <w:rFonts w:ascii="Century" w:hAnsi="Century"/>
                <w:color w:val="404040"/>
              </w:rPr>
              <w:t xml:space="preserve">Private pension sector tends to grow rapidly. </w:t>
            </w:r>
            <w:r w:rsidR="005E77D1" w:rsidRPr="00CF3FF2">
              <w:rPr>
                <w:rFonts w:ascii="Century" w:hAnsi="Century"/>
                <w:color w:val="404040"/>
              </w:rPr>
              <w:t xml:space="preserve">In addition to increase in number of contracts </w:t>
            </w:r>
            <w:r w:rsidR="00BE3CEC" w:rsidRPr="00CF3FF2">
              <w:rPr>
                <w:rFonts w:ascii="Century" w:hAnsi="Century"/>
                <w:color w:val="404040"/>
              </w:rPr>
              <w:t>by 32%, i</w:t>
            </w:r>
            <w:r w:rsidRPr="00CF3FF2">
              <w:rPr>
                <w:rFonts w:ascii="Century" w:hAnsi="Century"/>
                <w:color w:val="404040"/>
              </w:rPr>
              <w:t>n 200</w:t>
            </w:r>
            <w:r w:rsidR="007223B0" w:rsidRPr="00CF3FF2">
              <w:rPr>
                <w:rFonts w:ascii="Century" w:hAnsi="Century"/>
                <w:color w:val="404040"/>
              </w:rPr>
              <w:t>7</w:t>
            </w:r>
            <w:r w:rsidRPr="00CF3FF2">
              <w:rPr>
                <w:rFonts w:ascii="Century" w:hAnsi="Century"/>
                <w:color w:val="404040"/>
              </w:rPr>
              <w:t xml:space="preserve">, accumulation </w:t>
            </w:r>
            <w:r w:rsidR="00BE3CEC" w:rsidRPr="00CF3FF2">
              <w:rPr>
                <w:rFonts w:ascii="Century" w:hAnsi="Century"/>
                <w:color w:val="404040"/>
              </w:rPr>
              <w:t xml:space="preserve">value </w:t>
            </w:r>
            <w:r w:rsidR="007223B0" w:rsidRPr="00CF3FF2">
              <w:rPr>
                <w:rFonts w:ascii="Century" w:hAnsi="Century"/>
                <w:color w:val="404040"/>
              </w:rPr>
              <w:t xml:space="preserve">and contribution </w:t>
            </w:r>
            <w:r w:rsidR="00BE3CEC" w:rsidRPr="00CF3FF2">
              <w:rPr>
                <w:rFonts w:ascii="Century" w:hAnsi="Century"/>
                <w:color w:val="404040"/>
              </w:rPr>
              <w:t>amounts have</w:t>
            </w:r>
            <w:r w:rsidRPr="00CF3FF2">
              <w:rPr>
                <w:rFonts w:ascii="Century" w:hAnsi="Century"/>
                <w:color w:val="404040"/>
              </w:rPr>
              <w:t xml:space="preserve"> increased by </w:t>
            </w:r>
            <w:r w:rsidR="007223B0" w:rsidRPr="00CF3FF2">
              <w:rPr>
                <w:rFonts w:ascii="Century" w:hAnsi="Century"/>
                <w:color w:val="404040"/>
              </w:rPr>
              <w:t>62</w:t>
            </w:r>
            <w:r w:rsidRPr="00CF3FF2">
              <w:rPr>
                <w:rFonts w:ascii="Century" w:hAnsi="Century"/>
                <w:color w:val="404040"/>
              </w:rPr>
              <w:t>%</w:t>
            </w:r>
            <w:r w:rsidR="00BE3CEC" w:rsidRPr="00CF3FF2">
              <w:rPr>
                <w:rFonts w:ascii="Century" w:hAnsi="Century"/>
                <w:color w:val="404040"/>
              </w:rPr>
              <w:t xml:space="preserve"> and 71%</w:t>
            </w:r>
            <w:r w:rsidR="007223B0" w:rsidRPr="00CF3FF2">
              <w:rPr>
                <w:rFonts w:ascii="Century" w:hAnsi="Century"/>
                <w:color w:val="404040"/>
              </w:rPr>
              <w:t xml:space="preserve"> respectively</w:t>
            </w:r>
            <w:r w:rsidR="00BE3CEC" w:rsidRPr="00CF3FF2">
              <w:rPr>
                <w:rFonts w:ascii="Century" w:hAnsi="Century"/>
                <w:color w:val="404040"/>
              </w:rPr>
              <w:t xml:space="preserve">. </w:t>
            </w:r>
            <w:r w:rsidR="008E199D" w:rsidRPr="00CF3FF2">
              <w:rPr>
                <w:rFonts w:ascii="Century" w:hAnsi="Century"/>
                <w:color w:val="404040"/>
              </w:rPr>
              <w:t>I</w:t>
            </w:r>
            <w:r w:rsidRPr="00CF3FF2">
              <w:rPr>
                <w:rFonts w:ascii="Century" w:hAnsi="Century"/>
                <w:color w:val="404040"/>
              </w:rPr>
              <w:t xml:space="preserve">t is seen that </w:t>
            </w:r>
            <w:r w:rsidR="008E199D" w:rsidRPr="00CF3FF2">
              <w:rPr>
                <w:rFonts w:ascii="Century" w:hAnsi="Century"/>
                <w:color w:val="404040"/>
              </w:rPr>
              <w:t xml:space="preserve">among all participants in the system, </w:t>
            </w:r>
            <w:r w:rsidRPr="00CF3FF2">
              <w:rPr>
                <w:rFonts w:ascii="Century" w:hAnsi="Century"/>
                <w:color w:val="404040"/>
              </w:rPr>
              <w:t xml:space="preserve">approximately 77% </w:t>
            </w:r>
            <w:r w:rsidR="005E77D1" w:rsidRPr="00CF3FF2">
              <w:rPr>
                <w:rFonts w:ascii="Century" w:hAnsi="Century"/>
                <w:color w:val="404040"/>
              </w:rPr>
              <w:t xml:space="preserve">participating </w:t>
            </w:r>
            <w:r w:rsidRPr="00CF3FF2">
              <w:rPr>
                <w:rFonts w:ascii="Century" w:hAnsi="Century"/>
                <w:color w:val="404040"/>
              </w:rPr>
              <w:t>individual</w:t>
            </w:r>
            <w:r w:rsidR="005E77D1" w:rsidRPr="00CF3FF2">
              <w:rPr>
                <w:rFonts w:ascii="Century" w:hAnsi="Century"/>
                <w:color w:val="404040"/>
              </w:rPr>
              <w:t>ly</w:t>
            </w:r>
            <w:r w:rsidRPr="00CF3FF2">
              <w:rPr>
                <w:rFonts w:ascii="Century" w:hAnsi="Century"/>
                <w:color w:val="404040"/>
              </w:rPr>
              <w:t xml:space="preserve"> and 23% </w:t>
            </w:r>
            <w:r w:rsidR="005E77D1" w:rsidRPr="00CF3FF2">
              <w:rPr>
                <w:rFonts w:ascii="Century" w:hAnsi="Century"/>
                <w:color w:val="404040"/>
              </w:rPr>
              <w:t xml:space="preserve">participating  in </w:t>
            </w:r>
            <w:r w:rsidRPr="00CF3FF2">
              <w:rPr>
                <w:rFonts w:ascii="Century" w:hAnsi="Century"/>
                <w:color w:val="404040"/>
              </w:rPr>
              <w:t>group</w:t>
            </w:r>
            <w:r w:rsidR="005E77D1" w:rsidRPr="00CF3FF2">
              <w:rPr>
                <w:rFonts w:ascii="Century" w:hAnsi="Century"/>
                <w:color w:val="404040"/>
              </w:rPr>
              <w:t>s.</w:t>
            </w:r>
            <w:r w:rsidRPr="00CF3FF2">
              <w:rPr>
                <w:rFonts w:ascii="Century" w:hAnsi="Century"/>
                <w:color w:val="404040"/>
              </w:rPr>
              <w:t xml:space="preserve">   </w:t>
            </w:r>
          </w:p>
          <w:p w:rsidR="004649B1" w:rsidRPr="00367FA3" w:rsidRDefault="004649B1" w:rsidP="008D17FE">
            <w:pPr>
              <w:rPr>
                <w:rFonts w:ascii="Century" w:hAnsi="Century"/>
                <w:highlight w:val="yellow"/>
                <w:lang w:val="tr-TR"/>
              </w:rPr>
            </w:pPr>
          </w:p>
        </w:tc>
      </w:tr>
      <w:tr w:rsidR="004649B1" w:rsidRPr="00367FA3">
        <w:tc>
          <w:tcPr>
            <w:tcW w:w="9855" w:type="dxa"/>
            <w:gridSpan w:val="5"/>
          </w:tcPr>
          <w:p w:rsidR="004649B1" w:rsidRPr="007223B0" w:rsidRDefault="004649B1" w:rsidP="00D96FCE">
            <w:pPr>
              <w:pStyle w:val="ResimYazs"/>
              <w:jc w:val="center"/>
              <w:rPr>
                <w:rFonts w:ascii="Century" w:hAnsi="Century"/>
                <w:lang w:val="tr-TR"/>
              </w:rPr>
            </w:pPr>
            <w:bookmarkStart w:id="37" w:name="_Toc170665531"/>
            <w:r w:rsidRPr="007223B0">
              <w:rPr>
                <w:rFonts w:ascii="Century" w:hAnsi="Century"/>
                <w:lang w:val="tr-TR"/>
              </w:rPr>
              <w:t xml:space="preserve">Tablo </w:t>
            </w:r>
            <w:r w:rsidRPr="007223B0">
              <w:rPr>
                <w:rFonts w:ascii="Century" w:hAnsi="Century"/>
                <w:lang w:val="tr-TR"/>
              </w:rPr>
              <w:fldChar w:fldCharType="begin"/>
            </w:r>
            <w:r w:rsidRPr="007223B0">
              <w:rPr>
                <w:rFonts w:ascii="Century" w:hAnsi="Century"/>
                <w:lang w:val="tr-TR"/>
              </w:rPr>
              <w:instrText xml:space="preserve"> STYLEREF 2 \s </w:instrText>
            </w:r>
            <w:r w:rsidRPr="007223B0">
              <w:rPr>
                <w:rFonts w:ascii="Century" w:hAnsi="Century"/>
                <w:lang w:val="tr-TR"/>
              </w:rPr>
              <w:fldChar w:fldCharType="separate"/>
            </w:r>
            <w:r w:rsidR="00DA718E">
              <w:rPr>
                <w:rFonts w:ascii="Century" w:hAnsi="Century"/>
                <w:noProof/>
                <w:lang w:val="tr-TR"/>
              </w:rPr>
              <w:t>1.3</w:t>
            </w:r>
            <w:r w:rsidRPr="007223B0">
              <w:rPr>
                <w:rFonts w:ascii="Century" w:hAnsi="Century"/>
                <w:lang w:val="tr-TR"/>
              </w:rPr>
              <w:fldChar w:fldCharType="end"/>
            </w:r>
            <w:r w:rsidRPr="007223B0">
              <w:rPr>
                <w:rFonts w:ascii="Century" w:hAnsi="Century"/>
                <w:lang w:val="tr-TR"/>
              </w:rPr>
              <w:noBreakHyphen/>
            </w:r>
            <w:r w:rsidRPr="007223B0">
              <w:rPr>
                <w:rFonts w:ascii="Century" w:hAnsi="Century"/>
                <w:lang w:val="tr-TR"/>
              </w:rPr>
              <w:fldChar w:fldCharType="begin"/>
            </w:r>
            <w:r w:rsidRPr="007223B0">
              <w:rPr>
                <w:rFonts w:ascii="Century" w:hAnsi="Century"/>
                <w:lang w:val="tr-TR"/>
              </w:rPr>
              <w:instrText xml:space="preserve"> SEQ Tablo \* ARABIC \s 2 </w:instrText>
            </w:r>
            <w:r w:rsidRPr="007223B0">
              <w:rPr>
                <w:rFonts w:ascii="Century" w:hAnsi="Century"/>
                <w:lang w:val="tr-TR"/>
              </w:rPr>
              <w:fldChar w:fldCharType="separate"/>
            </w:r>
            <w:r w:rsidR="00DA718E">
              <w:rPr>
                <w:rFonts w:ascii="Century" w:hAnsi="Century"/>
                <w:noProof/>
                <w:lang w:val="tr-TR"/>
              </w:rPr>
              <w:t>6</w:t>
            </w:r>
            <w:r w:rsidRPr="007223B0">
              <w:rPr>
                <w:rFonts w:ascii="Century" w:hAnsi="Century"/>
                <w:lang w:val="tr-TR"/>
              </w:rPr>
              <w:fldChar w:fldCharType="end"/>
            </w:r>
            <w:r w:rsidRPr="007223B0">
              <w:rPr>
                <w:rFonts w:ascii="Century" w:hAnsi="Century"/>
                <w:lang w:val="tr-TR"/>
              </w:rPr>
              <w:t xml:space="preserve">; </w:t>
            </w:r>
            <w:r w:rsidRPr="007223B0">
              <w:rPr>
                <w:rFonts w:ascii="Century" w:hAnsi="Century"/>
                <w:bCs w:val="0"/>
                <w:lang w:val="tr-TR"/>
              </w:rPr>
              <w:t xml:space="preserve">Bireysel Emeklilik Sektörü Genel Verileri - </w:t>
            </w:r>
            <w:r w:rsidRPr="007223B0">
              <w:rPr>
                <w:rFonts w:ascii="Century" w:hAnsi="Century"/>
                <w:b w:val="0"/>
                <w:i/>
                <w:iCs/>
                <w:lang w:val="tr-TR"/>
              </w:rPr>
              <w:t>Pension System General Indicators</w:t>
            </w:r>
            <w:bookmarkEnd w:id="37"/>
          </w:p>
          <w:p w:rsidR="00D61B7D" w:rsidRPr="00D54945" w:rsidRDefault="00553E4B" w:rsidP="00D54945">
            <w:pPr>
              <w:jc w:val="center"/>
              <w:rPr>
                <w:rFonts w:ascii="Century" w:hAnsi="Century"/>
                <w:sz w:val="20"/>
                <w:szCs w:val="20"/>
                <w:highlight w:val="yellow"/>
                <w:lang w:val="tr-TR"/>
              </w:rPr>
            </w:pPr>
            <w:r w:rsidRPr="00553E4B">
              <w:rPr>
                <w:rFonts w:ascii="Century" w:hAnsi="Century"/>
                <w:sz w:val="20"/>
                <w:szCs w:val="20"/>
                <w:lang w:val="tr-TR"/>
              </w:rPr>
              <w:pict>
                <v:shape id="_x0000_i1043" type="#_x0000_t75" style="width:396.75pt;height:102pt">
                  <v:imagedata r:id="rId33" o:title=""/>
                </v:shape>
              </w:pict>
            </w:r>
          </w:p>
        </w:tc>
      </w:tr>
      <w:tr w:rsidR="004649B1" w:rsidRPr="00367FA3">
        <w:tc>
          <w:tcPr>
            <w:tcW w:w="4815" w:type="dxa"/>
            <w:gridSpan w:val="2"/>
          </w:tcPr>
          <w:p w:rsidR="004649B1" w:rsidRPr="008075A3" w:rsidRDefault="004649B1" w:rsidP="008D17FE">
            <w:pPr>
              <w:jc w:val="both"/>
              <w:rPr>
                <w:rFonts w:ascii="Century" w:hAnsi="Century"/>
                <w:lang w:val="tr-TR"/>
              </w:rPr>
            </w:pPr>
            <w:r w:rsidRPr="008075A3">
              <w:rPr>
                <w:rFonts w:ascii="Century" w:hAnsi="Century"/>
                <w:lang w:val="tr-TR"/>
              </w:rPr>
              <w:lastRenderedPageBreak/>
              <w:t>Sözleşme adetleri, katkı payı tutarı ve birikim tutarına ilişkin portföy hareketleri tablosu</w:t>
            </w:r>
            <w:r w:rsidR="00B00490" w:rsidRPr="008075A3">
              <w:rPr>
                <w:rFonts w:ascii="Century" w:hAnsi="Century"/>
                <w:lang w:val="tr-TR"/>
              </w:rPr>
              <w:t>na göre</w:t>
            </w:r>
            <w:r w:rsidRPr="008075A3">
              <w:rPr>
                <w:rFonts w:ascii="Century" w:hAnsi="Century"/>
                <w:lang w:val="tr-TR"/>
              </w:rPr>
              <w:t xml:space="preserve"> sözleşme </w:t>
            </w:r>
            <w:r w:rsidR="00B00490" w:rsidRPr="008075A3">
              <w:rPr>
                <w:rFonts w:ascii="Century" w:hAnsi="Century"/>
                <w:lang w:val="tr-TR"/>
              </w:rPr>
              <w:t>sayısındaki</w:t>
            </w:r>
            <w:r w:rsidR="00C03E2D" w:rsidRPr="008075A3">
              <w:rPr>
                <w:rFonts w:ascii="Century" w:hAnsi="Century"/>
                <w:lang w:val="tr-TR"/>
              </w:rPr>
              <w:t xml:space="preserve"> artışın %</w:t>
            </w:r>
            <w:r w:rsidR="0042127E" w:rsidRPr="008075A3">
              <w:rPr>
                <w:rFonts w:ascii="Century" w:hAnsi="Century"/>
                <w:lang w:val="tr-TR"/>
              </w:rPr>
              <w:t xml:space="preserve"> </w:t>
            </w:r>
            <w:r w:rsidR="008075A3" w:rsidRPr="008075A3">
              <w:rPr>
                <w:rFonts w:ascii="Century" w:hAnsi="Century"/>
                <w:lang w:val="tr-TR"/>
              </w:rPr>
              <w:t>96</w:t>
            </w:r>
            <w:r w:rsidR="00C03E2D" w:rsidRPr="008075A3">
              <w:rPr>
                <w:rFonts w:ascii="Century" w:hAnsi="Century"/>
                <w:lang w:val="tr-TR"/>
              </w:rPr>
              <w:t>’</w:t>
            </w:r>
            <w:r w:rsidR="008075A3" w:rsidRPr="008075A3">
              <w:rPr>
                <w:rFonts w:ascii="Century" w:hAnsi="Century"/>
                <w:lang w:val="tr-TR"/>
              </w:rPr>
              <w:t>sı</w:t>
            </w:r>
            <w:r w:rsidRPr="008075A3">
              <w:rPr>
                <w:rFonts w:ascii="Century" w:hAnsi="Century"/>
                <w:lang w:val="tr-TR"/>
              </w:rPr>
              <w:t xml:space="preserve"> yeni akdolunan sözleşmeler</w:t>
            </w:r>
            <w:r w:rsidR="00B00490" w:rsidRPr="008075A3">
              <w:rPr>
                <w:rFonts w:ascii="Century" w:hAnsi="Century"/>
                <w:lang w:val="tr-TR"/>
              </w:rPr>
              <w:t xml:space="preserve">den oluşmakta ve bu sözleşmeler </w:t>
            </w:r>
            <w:r w:rsidRPr="008075A3">
              <w:rPr>
                <w:rFonts w:ascii="Century" w:hAnsi="Century"/>
                <w:lang w:val="tr-TR"/>
              </w:rPr>
              <w:t>birikim tutarındaki artışa  %</w:t>
            </w:r>
            <w:r w:rsidR="0042127E" w:rsidRPr="008075A3">
              <w:rPr>
                <w:rFonts w:ascii="Century" w:hAnsi="Century"/>
                <w:lang w:val="tr-TR"/>
              </w:rPr>
              <w:t xml:space="preserve"> </w:t>
            </w:r>
            <w:r w:rsidRPr="008075A3">
              <w:rPr>
                <w:rFonts w:ascii="Century" w:hAnsi="Century"/>
                <w:lang w:val="tr-TR"/>
              </w:rPr>
              <w:t>2</w:t>
            </w:r>
            <w:r w:rsidR="008075A3" w:rsidRPr="008075A3">
              <w:rPr>
                <w:rFonts w:ascii="Century" w:hAnsi="Century"/>
                <w:lang w:val="tr-TR"/>
              </w:rPr>
              <w:t>1</w:t>
            </w:r>
            <w:r w:rsidRPr="008075A3">
              <w:rPr>
                <w:rFonts w:ascii="Century" w:hAnsi="Century"/>
                <w:lang w:val="tr-TR"/>
              </w:rPr>
              <w:t xml:space="preserve"> </w:t>
            </w:r>
            <w:r w:rsidR="00B00490" w:rsidRPr="008075A3">
              <w:rPr>
                <w:rFonts w:ascii="Century" w:hAnsi="Century"/>
                <w:lang w:val="tr-TR"/>
              </w:rPr>
              <w:t>oranında etki yapmaktadır.</w:t>
            </w:r>
            <w:r w:rsidRPr="008075A3">
              <w:rPr>
                <w:rFonts w:ascii="Century" w:hAnsi="Century"/>
                <w:lang w:val="tr-TR"/>
              </w:rPr>
              <w:t xml:space="preserve"> </w:t>
            </w:r>
          </w:p>
          <w:p w:rsidR="004C3C96" w:rsidRPr="00367FA3" w:rsidRDefault="004C3C96"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760FE1" w:rsidRPr="00CF3FF2" w:rsidRDefault="00687A37" w:rsidP="00760FE1">
            <w:pPr>
              <w:jc w:val="both"/>
              <w:rPr>
                <w:rFonts w:ascii="Century" w:hAnsi="Century"/>
                <w:color w:val="404040"/>
              </w:rPr>
            </w:pPr>
            <w:r w:rsidRPr="00CF3FF2">
              <w:rPr>
                <w:rFonts w:ascii="Century" w:hAnsi="Century"/>
                <w:color w:val="404040"/>
              </w:rPr>
              <w:t>According to table 1.3-7 which presents portfolio movement</w:t>
            </w:r>
            <w:r w:rsidR="008C21D7" w:rsidRPr="00CF3FF2">
              <w:rPr>
                <w:rFonts w:ascii="Century" w:hAnsi="Century"/>
                <w:color w:val="404040"/>
              </w:rPr>
              <w:t>s</w:t>
            </w:r>
            <w:r w:rsidRPr="00CF3FF2">
              <w:rPr>
                <w:rFonts w:ascii="Century" w:hAnsi="Century"/>
                <w:color w:val="404040"/>
              </w:rPr>
              <w:t xml:space="preserve"> of pension companies, </w:t>
            </w:r>
            <w:r w:rsidR="008075A3" w:rsidRPr="00CF3FF2">
              <w:rPr>
                <w:rFonts w:ascii="Century" w:hAnsi="Century"/>
                <w:color w:val="404040"/>
              </w:rPr>
              <w:t>96</w:t>
            </w:r>
            <w:r w:rsidR="00760FE1" w:rsidRPr="00CF3FF2">
              <w:rPr>
                <w:rFonts w:ascii="Century" w:hAnsi="Century"/>
                <w:color w:val="404040"/>
              </w:rPr>
              <w:t xml:space="preserve">% of increase in </w:t>
            </w:r>
            <w:r w:rsidR="00B00490" w:rsidRPr="00CF3FF2">
              <w:rPr>
                <w:rFonts w:ascii="Century" w:hAnsi="Century"/>
                <w:color w:val="404040"/>
              </w:rPr>
              <w:t xml:space="preserve">the </w:t>
            </w:r>
            <w:r w:rsidR="00760FE1" w:rsidRPr="00CF3FF2">
              <w:rPr>
                <w:rFonts w:ascii="Century" w:hAnsi="Century"/>
                <w:color w:val="404040"/>
              </w:rPr>
              <w:t xml:space="preserve">number of </w:t>
            </w:r>
            <w:r w:rsidR="00B00490" w:rsidRPr="00CF3FF2">
              <w:rPr>
                <w:rFonts w:ascii="Century" w:hAnsi="Century"/>
                <w:color w:val="404040"/>
              </w:rPr>
              <w:t xml:space="preserve">the </w:t>
            </w:r>
            <w:r w:rsidR="00760FE1" w:rsidRPr="00CF3FF2">
              <w:rPr>
                <w:rFonts w:ascii="Century" w:hAnsi="Century"/>
                <w:color w:val="404040"/>
              </w:rPr>
              <w:t xml:space="preserve">contracts </w:t>
            </w:r>
            <w:r w:rsidR="00B00490" w:rsidRPr="00CF3FF2">
              <w:rPr>
                <w:rFonts w:ascii="Century" w:hAnsi="Century"/>
                <w:color w:val="404040"/>
              </w:rPr>
              <w:t>has been</w:t>
            </w:r>
            <w:r w:rsidR="00760FE1" w:rsidRPr="00CF3FF2">
              <w:rPr>
                <w:rFonts w:ascii="Century" w:hAnsi="Century"/>
                <w:color w:val="404040"/>
              </w:rPr>
              <w:t xml:space="preserve"> caused by new contracts and </w:t>
            </w:r>
            <w:r w:rsidR="00B00490" w:rsidRPr="00CF3FF2">
              <w:rPr>
                <w:rFonts w:ascii="Century" w:hAnsi="Century"/>
                <w:color w:val="404040"/>
              </w:rPr>
              <w:t>their</w:t>
            </w:r>
            <w:r w:rsidR="008075A3" w:rsidRPr="00CF3FF2">
              <w:rPr>
                <w:rFonts w:ascii="Century" w:hAnsi="Century"/>
                <w:color w:val="404040"/>
              </w:rPr>
              <w:t xml:space="preserve"> impact to accumulation is 2</w:t>
            </w:r>
            <w:r w:rsidR="00760FE1" w:rsidRPr="00CF3FF2">
              <w:rPr>
                <w:rFonts w:ascii="Century" w:hAnsi="Century"/>
                <w:color w:val="404040"/>
              </w:rPr>
              <w:t>1%.</w:t>
            </w:r>
          </w:p>
          <w:p w:rsidR="004649B1" w:rsidRPr="00367FA3" w:rsidRDefault="004649B1" w:rsidP="008D17FE">
            <w:pPr>
              <w:rPr>
                <w:rFonts w:ascii="Century" w:hAnsi="Century"/>
                <w:highlight w:val="yellow"/>
                <w:lang w:val="tr-TR"/>
              </w:rPr>
            </w:pPr>
          </w:p>
        </w:tc>
      </w:tr>
      <w:tr w:rsidR="00E21DE1" w:rsidRPr="00367FA3">
        <w:tc>
          <w:tcPr>
            <w:tcW w:w="9855" w:type="dxa"/>
            <w:gridSpan w:val="5"/>
          </w:tcPr>
          <w:p w:rsidR="00E21DE1" w:rsidRPr="00781A9D" w:rsidRDefault="00E21DE1" w:rsidP="00D96FCE">
            <w:pPr>
              <w:pStyle w:val="ResimYazs"/>
              <w:jc w:val="center"/>
              <w:rPr>
                <w:rFonts w:ascii="Century" w:hAnsi="Century"/>
                <w:b w:val="0"/>
                <w:i/>
                <w:lang w:val="tr-TR"/>
              </w:rPr>
            </w:pPr>
            <w:bookmarkStart w:id="38" w:name="_Toc170665532"/>
            <w:r w:rsidRPr="00781A9D">
              <w:rPr>
                <w:rFonts w:ascii="Century" w:hAnsi="Century"/>
                <w:lang w:val="tr-TR"/>
              </w:rPr>
              <w:t xml:space="preserve">Tablo </w:t>
            </w:r>
            <w:r w:rsidRPr="00781A9D">
              <w:rPr>
                <w:rFonts w:ascii="Century" w:hAnsi="Century"/>
                <w:lang w:val="tr-TR"/>
              </w:rPr>
              <w:fldChar w:fldCharType="begin"/>
            </w:r>
            <w:r w:rsidRPr="00781A9D">
              <w:rPr>
                <w:rFonts w:ascii="Century" w:hAnsi="Century"/>
                <w:lang w:val="tr-TR"/>
              </w:rPr>
              <w:instrText xml:space="preserve"> STYLEREF 2 \s </w:instrText>
            </w:r>
            <w:r w:rsidRPr="00781A9D">
              <w:rPr>
                <w:rFonts w:ascii="Century" w:hAnsi="Century"/>
                <w:lang w:val="tr-TR"/>
              </w:rPr>
              <w:fldChar w:fldCharType="separate"/>
            </w:r>
            <w:r w:rsidR="00DA718E">
              <w:rPr>
                <w:rFonts w:ascii="Century" w:hAnsi="Century"/>
                <w:noProof/>
                <w:lang w:val="tr-TR"/>
              </w:rPr>
              <w:t>1.3</w:t>
            </w:r>
            <w:r w:rsidRPr="00781A9D">
              <w:rPr>
                <w:rFonts w:ascii="Century" w:hAnsi="Century"/>
                <w:lang w:val="tr-TR"/>
              </w:rPr>
              <w:fldChar w:fldCharType="end"/>
            </w:r>
            <w:r w:rsidRPr="00781A9D">
              <w:rPr>
                <w:rFonts w:ascii="Century" w:hAnsi="Century"/>
                <w:lang w:val="tr-TR"/>
              </w:rPr>
              <w:noBreakHyphen/>
            </w:r>
            <w:r w:rsidRPr="00781A9D">
              <w:rPr>
                <w:rFonts w:ascii="Century" w:hAnsi="Century"/>
                <w:lang w:val="tr-TR"/>
              </w:rPr>
              <w:fldChar w:fldCharType="begin"/>
            </w:r>
            <w:r w:rsidRPr="00781A9D">
              <w:rPr>
                <w:rFonts w:ascii="Century" w:hAnsi="Century"/>
                <w:lang w:val="tr-TR"/>
              </w:rPr>
              <w:instrText xml:space="preserve"> SEQ Tablo \* ARABIC \s 2 </w:instrText>
            </w:r>
            <w:r w:rsidRPr="00781A9D">
              <w:rPr>
                <w:rFonts w:ascii="Century" w:hAnsi="Century"/>
                <w:lang w:val="tr-TR"/>
              </w:rPr>
              <w:fldChar w:fldCharType="separate"/>
            </w:r>
            <w:r w:rsidR="00DA718E">
              <w:rPr>
                <w:rFonts w:ascii="Century" w:hAnsi="Century"/>
                <w:noProof/>
                <w:lang w:val="tr-TR"/>
              </w:rPr>
              <w:t>7</w:t>
            </w:r>
            <w:r w:rsidRPr="00781A9D">
              <w:rPr>
                <w:rFonts w:ascii="Century" w:hAnsi="Century"/>
                <w:lang w:val="tr-TR"/>
              </w:rPr>
              <w:fldChar w:fldCharType="end"/>
            </w:r>
            <w:r w:rsidRPr="00781A9D">
              <w:rPr>
                <w:rFonts w:ascii="Century" w:hAnsi="Century"/>
                <w:lang w:val="tr-TR"/>
              </w:rPr>
              <w:t xml:space="preserve">; </w:t>
            </w:r>
            <w:r w:rsidRPr="00781A9D">
              <w:rPr>
                <w:rFonts w:ascii="Century" w:hAnsi="Century"/>
                <w:bCs w:val="0"/>
                <w:lang w:val="tr-TR"/>
              </w:rPr>
              <w:t xml:space="preserve">Portföy Hareketleri – </w:t>
            </w:r>
            <w:r w:rsidRPr="00781A9D">
              <w:rPr>
                <w:rFonts w:ascii="Century" w:hAnsi="Century"/>
                <w:b w:val="0"/>
                <w:bCs w:val="0"/>
                <w:i/>
                <w:lang w:val="tr-TR"/>
              </w:rPr>
              <w:t>Pension Companies Portfolio  Movement</w:t>
            </w:r>
            <w:bookmarkEnd w:id="38"/>
          </w:p>
          <w:p w:rsidR="00E21DE1" w:rsidRPr="000D53AB" w:rsidRDefault="000D53AB" w:rsidP="00D96FCE">
            <w:pPr>
              <w:jc w:val="center"/>
              <w:rPr>
                <w:rFonts w:ascii="Century" w:hAnsi="Century"/>
                <w:sz w:val="20"/>
                <w:szCs w:val="20"/>
                <w:highlight w:val="yellow"/>
                <w:lang w:val="tr-TR"/>
              </w:rPr>
            </w:pPr>
            <w:r w:rsidRPr="000D53AB">
              <w:rPr>
                <w:rFonts w:ascii="Century" w:hAnsi="Century"/>
                <w:sz w:val="20"/>
                <w:szCs w:val="20"/>
                <w:lang w:val="tr-TR"/>
              </w:rPr>
              <w:pict>
                <v:shape id="_x0000_i1044" type="#_x0000_t75" style="width:431.25pt;height:185.25pt">
                  <v:imagedata r:id="rId34" o:title=""/>
                </v:shape>
              </w:pict>
            </w:r>
          </w:p>
          <w:p w:rsidR="000D53AB" w:rsidRPr="00367FA3" w:rsidRDefault="000D53AB" w:rsidP="00D96FCE">
            <w:pPr>
              <w:jc w:val="center"/>
              <w:rPr>
                <w:rFonts w:ascii="Century" w:hAnsi="Century"/>
                <w:sz w:val="20"/>
                <w:szCs w:val="20"/>
                <w:highlight w:val="yellow"/>
                <w:lang w:val="tr-TR"/>
              </w:rPr>
            </w:pPr>
          </w:p>
          <w:p w:rsidR="00223E8E" w:rsidRPr="00367FA3" w:rsidRDefault="00223E8E" w:rsidP="008D17FE">
            <w:pPr>
              <w:rPr>
                <w:rFonts w:ascii="Century" w:hAnsi="Century"/>
                <w:sz w:val="20"/>
                <w:szCs w:val="20"/>
                <w:highlight w:val="yellow"/>
                <w:lang w:val="tr-TR"/>
              </w:rPr>
            </w:pPr>
          </w:p>
          <w:p w:rsidR="00D61B7D" w:rsidRPr="00367FA3" w:rsidRDefault="00D61B7D" w:rsidP="008D17FE">
            <w:pPr>
              <w:rPr>
                <w:rFonts w:ascii="Century" w:hAnsi="Century"/>
                <w:sz w:val="20"/>
                <w:szCs w:val="20"/>
                <w:highlight w:val="yellow"/>
                <w:lang w:val="tr-TR"/>
              </w:rPr>
            </w:pPr>
          </w:p>
        </w:tc>
      </w:tr>
      <w:tr w:rsidR="004649B1" w:rsidRPr="00367FA3">
        <w:tc>
          <w:tcPr>
            <w:tcW w:w="4815" w:type="dxa"/>
            <w:gridSpan w:val="2"/>
          </w:tcPr>
          <w:p w:rsidR="00E21DE1" w:rsidRPr="008075A3" w:rsidRDefault="00E21DE1" w:rsidP="008D17FE">
            <w:pPr>
              <w:jc w:val="both"/>
              <w:rPr>
                <w:rFonts w:ascii="Century" w:hAnsi="Century"/>
                <w:lang w:val="tr-TR"/>
              </w:rPr>
            </w:pPr>
            <w:r w:rsidRPr="008075A3">
              <w:rPr>
                <w:rFonts w:ascii="Century" w:hAnsi="Century"/>
                <w:lang w:val="tr-TR"/>
              </w:rPr>
              <w:t>Bireysel emeklilik sözleşmelerinin yaş gruplarına göre dağılımı</w:t>
            </w:r>
            <w:r w:rsidR="00B00490" w:rsidRPr="008075A3">
              <w:rPr>
                <w:rFonts w:ascii="Century" w:hAnsi="Century"/>
                <w:lang w:val="tr-TR"/>
              </w:rPr>
              <w:t>nda ise</w:t>
            </w:r>
            <w:r w:rsidRPr="008075A3">
              <w:rPr>
                <w:rFonts w:ascii="Century" w:hAnsi="Century"/>
                <w:lang w:val="tr-TR"/>
              </w:rPr>
              <w:t xml:space="preserve">, 25-34 </w:t>
            </w:r>
            <w:r w:rsidR="00B00490" w:rsidRPr="008075A3">
              <w:rPr>
                <w:rFonts w:ascii="Century" w:hAnsi="Century"/>
                <w:lang w:val="tr-TR"/>
              </w:rPr>
              <w:t xml:space="preserve">ile 35-44 </w:t>
            </w:r>
            <w:r w:rsidRPr="008075A3">
              <w:rPr>
                <w:rFonts w:ascii="Century" w:hAnsi="Century"/>
                <w:lang w:val="tr-TR"/>
              </w:rPr>
              <w:t xml:space="preserve">yaş </w:t>
            </w:r>
            <w:r w:rsidR="00B00490" w:rsidRPr="008075A3">
              <w:rPr>
                <w:rFonts w:ascii="Century" w:hAnsi="Century"/>
                <w:lang w:val="tr-TR"/>
              </w:rPr>
              <w:t xml:space="preserve">arası </w:t>
            </w:r>
            <w:r w:rsidRPr="008075A3">
              <w:rPr>
                <w:rFonts w:ascii="Century" w:hAnsi="Century"/>
                <w:lang w:val="tr-TR"/>
              </w:rPr>
              <w:t>gru</w:t>
            </w:r>
            <w:r w:rsidR="00B00490" w:rsidRPr="008075A3">
              <w:rPr>
                <w:rFonts w:ascii="Century" w:hAnsi="Century"/>
                <w:lang w:val="tr-TR"/>
              </w:rPr>
              <w:t>pların</w:t>
            </w:r>
            <w:r w:rsidRPr="008075A3">
              <w:rPr>
                <w:rFonts w:ascii="Century" w:hAnsi="Century"/>
                <w:lang w:val="tr-TR"/>
              </w:rPr>
              <w:t xml:space="preserve"> ağırlı</w:t>
            </w:r>
            <w:r w:rsidR="00B00490" w:rsidRPr="008075A3">
              <w:rPr>
                <w:rFonts w:ascii="Century" w:hAnsi="Century"/>
                <w:lang w:val="tr-TR"/>
              </w:rPr>
              <w:t>klarını</w:t>
            </w:r>
            <w:r w:rsidRPr="008075A3">
              <w:rPr>
                <w:rFonts w:ascii="Century" w:hAnsi="Century"/>
                <w:lang w:val="tr-TR"/>
              </w:rPr>
              <w:t xml:space="preserve"> koruduğu görülmektedir. </w:t>
            </w:r>
          </w:p>
          <w:p w:rsidR="000355EE" w:rsidRPr="00367FA3" w:rsidRDefault="000355EE" w:rsidP="008D17FE">
            <w:pPr>
              <w:rPr>
                <w:rFonts w:ascii="Century" w:hAnsi="Century"/>
                <w:highlight w:val="yellow"/>
                <w:lang w:val="tr-TR"/>
              </w:rPr>
            </w:pPr>
          </w:p>
          <w:p w:rsidR="004C3C96" w:rsidRPr="00367FA3" w:rsidRDefault="004C3C96"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760FE1" w:rsidRPr="00CF3FF2" w:rsidRDefault="00687A37" w:rsidP="00760FE1">
            <w:pPr>
              <w:jc w:val="both"/>
              <w:rPr>
                <w:rFonts w:ascii="Century" w:hAnsi="Century"/>
                <w:color w:val="404040"/>
              </w:rPr>
            </w:pPr>
            <w:r w:rsidRPr="00CF3FF2">
              <w:rPr>
                <w:rFonts w:ascii="Century" w:hAnsi="Century"/>
                <w:color w:val="404040"/>
              </w:rPr>
              <w:t>According to table 1.3-8 which presents distribution of contract</w:t>
            </w:r>
            <w:r w:rsidR="008C21D7" w:rsidRPr="00CF3FF2">
              <w:rPr>
                <w:rFonts w:ascii="Century" w:hAnsi="Century"/>
                <w:color w:val="404040"/>
              </w:rPr>
              <w:t>s</w:t>
            </w:r>
            <w:r w:rsidRPr="00CF3FF2">
              <w:rPr>
                <w:rFonts w:ascii="Century" w:hAnsi="Century"/>
                <w:color w:val="404040"/>
              </w:rPr>
              <w:t xml:space="preserve"> with respect of age, </w:t>
            </w:r>
            <w:r w:rsidR="00C26B53" w:rsidRPr="00CF3FF2">
              <w:rPr>
                <w:rFonts w:ascii="Century" w:hAnsi="Century"/>
                <w:color w:val="404040"/>
              </w:rPr>
              <w:t>i</w:t>
            </w:r>
            <w:r w:rsidR="00760FE1" w:rsidRPr="00CF3FF2">
              <w:rPr>
                <w:rFonts w:ascii="Century" w:hAnsi="Century"/>
                <w:color w:val="404040"/>
              </w:rPr>
              <w:t xml:space="preserve">t is seen that mostly 25 - 34 </w:t>
            </w:r>
            <w:r w:rsidR="00B00490" w:rsidRPr="00CF3FF2">
              <w:rPr>
                <w:rFonts w:ascii="Century" w:hAnsi="Century"/>
                <w:color w:val="404040"/>
              </w:rPr>
              <w:t xml:space="preserve">and 35-44 </w:t>
            </w:r>
            <w:r w:rsidR="00760FE1" w:rsidRPr="00CF3FF2">
              <w:rPr>
                <w:rFonts w:ascii="Century" w:hAnsi="Century"/>
                <w:color w:val="404040"/>
              </w:rPr>
              <w:t>age group</w:t>
            </w:r>
            <w:r w:rsidR="00B00490" w:rsidRPr="00CF3FF2">
              <w:rPr>
                <w:rFonts w:ascii="Century" w:hAnsi="Century"/>
                <w:color w:val="404040"/>
              </w:rPr>
              <w:t>s</w:t>
            </w:r>
            <w:r w:rsidR="00760FE1" w:rsidRPr="00CF3FF2">
              <w:rPr>
                <w:rFonts w:ascii="Century" w:hAnsi="Century"/>
                <w:color w:val="404040"/>
              </w:rPr>
              <w:t xml:space="preserve"> sign private pension contracts for </w:t>
            </w:r>
            <w:r w:rsidR="00B00490" w:rsidRPr="00CF3FF2">
              <w:rPr>
                <w:rFonts w:ascii="Century" w:hAnsi="Century"/>
                <w:color w:val="404040"/>
              </w:rPr>
              <w:t xml:space="preserve">the </w:t>
            </w:r>
            <w:r w:rsidR="00760FE1" w:rsidRPr="00CF3FF2">
              <w:rPr>
                <w:rFonts w:ascii="Century" w:hAnsi="Century"/>
                <w:color w:val="404040"/>
              </w:rPr>
              <w:t>years.</w:t>
            </w:r>
          </w:p>
          <w:p w:rsidR="004649B1" w:rsidRPr="00367FA3" w:rsidRDefault="004649B1" w:rsidP="008D17FE">
            <w:pPr>
              <w:rPr>
                <w:rFonts w:ascii="Century" w:hAnsi="Century"/>
                <w:highlight w:val="yellow"/>
                <w:lang w:val="tr-TR"/>
              </w:rPr>
            </w:pPr>
          </w:p>
        </w:tc>
      </w:tr>
      <w:tr w:rsidR="00E21DE1" w:rsidRPr="00367FA3">
        <w:tc>
          <w:tcPr>
            <w:tcW w:w="9855" w:type="dxa"/>
            <w:gridSpan w:val="5"/>
          </w:tcPr>
          <w:p w:rsidR="00E21DE1" w:rsidRPr="008075A3" w:rsidRDefault="00E21DE1" w:rsidP="00D96FCE">
            <w:pPr>
              <w:pStyle w:val="ResimYazs"/>
              <w:jc w:val="center"/>
              <w:rPr>
                <w:rFonts w:ascii="Century" w:hAnsi="Century"/>
                <w:b w:val="0"/>
                <w:lang w:val="tr-TR"/>
              </w:rPr>
            </w:pPr>
            <w:bookmarkStart w:id="39" w:name="_Toc170665533"/>
            <w:r w:rsidRPr="008075A3">
              <w:rPr>
                <w:rFonts w:ascii="Century" w:hAnsi="Century"/>
                <w:lang w:val="tr-TR"/>
              </w:rPr>
              <w:t xml:space="preserve">Tablo </w:t>
            </w:r>
            <w:r w:rsidRPr="008075A3">
              <w:rPr>
                <w:rFonts w:ascii="Century" w:hAnsi="Century"/>
                <w:lang w:val="tr-TR"/>
              </w:rPr>
              <w:fldChar w:fldCharType="begin"/>
            </w:r>
            <w:r w:rsidRPr="008075A3">
              <w:rPr>
                <w:rFonts w:ascii="Century" w:hAnsi="Century"/>
                <w:lang w:val="tr-TR"/>
              </w:rPr>
              <w:instrText xml:space="preserve"> STYLEREF 2 \s </w:instrText>
            </w:r>
            <w:r w:rsidRPr="008075A3">
              <w:rPr>
                <w:rFonts w:ascii="Century" w:hAnsi="Century"/>
                <w:lang w:val="tr-TR"/>
              </w:rPr>
              <w:fldChar w:fldCharType="separate"/>
            </w:r>
            <w:r w:rsidR="00DA718E">
              <w:rPr>
                <w:rFonts w:ascii="Century" w:hAnsi="Century"/>
                <w:noProof/>
                <w:lang w:val="tr-TR"/>
              </w:rPr>
              <w:t>1.3</w:t>
            </w:r>
            <w:r w:rsidRPr="008075A3">
              <w:rPr>
                <w:rFonts w:ascii="Century" w:hAnsi="Century"/>
                <w:lang w:val="tr-TR"/>
              </w:rPr>
              <w:fldChar w:fldCharType="end"/>
            </w:r>
            <w:r w:rsidRPr="008075A3">
              <w:rPr>
                <w:rFonts w:ascii="Century" w:hAnsi="Century"/>
                <w:lang w:val="tr-TR"/>
              </w:rPr>
              <w:noBreakHyphen/>
            </w:r>
            <w:r w:rsidRPr="008075A3">
              <w:rPr>
                <w:rFonts w:ascii="Century" w:hAnsi="Century"/>
                <w:lang w:val="tr-TR"/>
              </w:rPr>
              <w:fldChar w:fldCharType="begin"/>
            </w:r>
            <w:r w:rsidRPr="008075A3">
              <w:rPr>
                <w:rFonts w:ascii="Century" w:hAnsi="Century"/>
                <w:lang w:val="tr-TR"/>
              </w:rPr>
              <w:instrText xml:space="preserve"> SEQ Tablo \* ARABIC \s 2 </w:instrText>
            </w:r>
            <w:r w:rsidRPr="008075A3">
              <w:rPr>
                <w:rFonts w:ascii="Century" w:hAnsi="Century"/>
                <w:lang w:val="tr-TR"/>
              </w:rPr>
              <w:fldChar w:fldCharType="separate"/>
            </w:r>
            <w:r w:rsidR="00DA718E">
              <w:rPr>
                <w:rFonts w:ascii="Century" w:hAnsi="Century"/>
                <w:noProof/>
                <w:lang w:val="tr-TR"/>
              </w:rPr>
              <w:t>8</w:t>
            </w:r>
            <w:r w:rsidRPr="008075A3">
              <w:rPr>
                <w:rFonts w:ascii="Century" w:hAnsi="Century"/>
                <w:lang w:val="tr-TR"/>
              </w:rPr>
              <w:fldChar w:fldCharType="end"/>
            </w:r>
            <w:r w:rsidRPr="008075A3">
              <w:rPr>
                <w:rFonts w:ascii="Century" w:hAnsi="Century"/>
                <w:lang w:val="tr-TR"/>
              </w:rPr>
              <w:t>;</w:t>
            </w:r>
            <w:r w:rsidRPr="008075A3">
              <w:rPr>
                <w:rFonts w:ascii="Century" w:hAnsi="Century"/>
                <w:bCs w:val="0"/>
                <w:lang w:val="tr-TR"/>
              </w:rPr>
              <w:t>Yaş Gruplarına Göre Dağılımı-</w:t>
            </w:r>
            <w:r w:rsidRPr="008075A3">
              <w:rPr>
                <w:rFonts w:ascii="Century" w:hAnsi="Century"/>
                <w:b w:val="0"/>
                <w:i/>
                <w:iCs/>
                <w:lang w:val="tr-TR"/>
              </w:rPr>
              <w:t>Distribution of Cont. with Respect of Age</w:t>
            </w:r>
            <w:bookmarkEnd w:id="39"/>
          </w:p>
          <w:p w:rsidR="006B7271" w:rsidRPr="002A1A42" w:rsidRDefault="002A1A42" w:rsidP="003A5BC0">
            <w:pPr>
              <w:jc w:val="center"/>
              <w:rPr>
                <w:rFonts w:ascii="Century" w:hAnsi="Century"/>
                <w:highlight w:val="yellow"/>
                <w:lang w:val="tr-TR"/>
              </w:rPr>
            </w:pPr>
            <w:r w:rsidRPr="002A1A42">
              <w:rPr>
                <w:rFonts w:ascii="Century" w:hAnsi="Century"/>
                <w:lang w:val="tr-TR"/>
              </w:rPr>
              <w:pict>
                <v:shape id="_x0000_i1045" type="#_x0000_t75" style="width:370.5pt;height:88.5pt">
                  <v:imagedata r:id="rId35" o:title=""/>
                </v:shape>
              </w:pict>
            </w:r>
          </w:p>
        </w:tc>
      </w:tr>
      <w:tr w:rsidR="004649B1" w:rsidRPr="00367FA3">
        <w:tc>
          <w:tcPr>
            <w:tcW w:w="4815" w:type="dxa"/>
            <w:gridSpan w:val="2"/>
          </w:tcPr>
          <w:p w:rsidR="00D61B7D" w:rsidRPr="00367FA3" w:rsidRDefault="00D61B7D" w:rsidP="008D17FE">
            <w:pPr>
              <w:jc w:val="both"/>
              <w:rPr>
                <w:rFonts w:ascii="Century" w:hAnsi="Century"/>
                <w:highlight w:val="yellow"/>
                <w:lang w:val="tr-TR"/>
              </w:rPr>
            </w:pPr>
          </w:p>
          <w:p w:rsidR="004C3C96" w:rsidRPr="00367FA3" w:rsidRDefault="004C3C96" w:rsidP="008D17FE">
            <w:pPr>
              <w:jc w:val="both"/>
              <w:rPr>
                <w:rFonts w:ascii="Century" w:hAnsi="Century"/>
                <w:highlight w:val="yellow"/>
                <w:lang w:val="tr-TR"/>
              </w:rPr>
            </w:pPr>
          </w:p>
          <w:p w:rsidR="00E21DE1" w:rsidRPr="003B7561" w:rsidRDefault="00E21DE1" w:rsidP="008D17FE">
            <w:pPr>
              <w:jc w:val="both"/>
              <w:rPr>
                <w:rFonts w:ascii="Century" w:hAnsi="Century"/>
                <w:lang w:val="tr-TR"/>
              </w:rPr>
            </w:pPr>
            <w:r w:rsidRPr="003B7561">
              <w:rPr>
                <w:rFonts w:ascii="Century" w:hAnsi="Century"/>
                <w:lang w:val="tr-TR"/>
              </w:rPr>
              <w:t>200</w:t>
            </w:r>
            <w:r w:rsidR="003B7561" w:rsidRPr="003B7561">
              <w:rPr>
                <w:rFonts w:ascii="Century" w:hAnsi="Century"/>
                <w:lang w:val="tr-TR"/>
              </w:rPr>
              <w:t>7</w:t>
            </w:r>
            <w:r w:rsidRPr="003B7561">
              <w:rPr>
                <w:rFonts w:ascii="Century" w:hAnsi="Century"/>
                <w:lang w:val="tr-TR"/>
              </w:rPr>
              <w:t xml:space="preserve"> yılında mevcut sözleşmelerin yaklaşık olarak %</w:t>
            </w:r>
            <w:r w:rsidR="0042127E" w:rsidRPr="003B7561">
              <w:rPr>
                <w:rFonts w:ascii="Century" w:hAnsi="Century"/>
                <w:lang w:val="tr-TR"/>
              </w:rPr>
              <w:t xml:space="preserve"> </w:t>
            </w:r>
            <w:r w:rsidR="008075A3" w:rsidRPr="003B7561">
              <w:rPr>
                <w:rFonts w:ascii="Century" w:hAnsi="Century"/>
                <w:lang w:val="tr-TR"/>
              </w:rPr>
              <w:t>7</w:t>
            </w:r>
            <w:r w:rsidR="003B7561">
              <w:rPr>
                <w:rFonts w:ascii="Century" w:hAnsi="Century"/>
                <w:lang w:val="tr-TR"/>
              </w:rPr>
              <w:t>4</w:t>
            </w:r>
            <w:r w:rsidRPr="003B7561">
              <w:rPr>
                <w:rFonts w:ascii="Century" w:hAnsi="Century"/>
                <w:lang w:val="tr-TR"/>
              </w:rPr>
              <w:t>’</w:t>
            </w:r>
            <w:r w:rsidR="008075A3" w:rsidRPr="003B7561">
              <w:rPr>
                <w:rFonts w:ascii="Century" w:hAnsi="Century"/>
                <w:lang w:val="tr-TR"/>
              </w:rPr>
              <w:t>ünü</w:t>
            </w:r>
            <w:r w:rsidRPr="003B7561">
              <w:rPr>
                <w:rFonts w:ascii="Century" w:hAnsi="Century"/>
                <w:lang w:val="tr-TR"/>
              </w:rPr>
              <w:t xml:space="preserve"> 25-</w:t>
            </w:r>
            <w:r w:rsidR="008075A3" w:rsidRPr="003B7561">
              <w:rPr>
                <w:rFonts w:ascii="Century" w:hAnsi="Century"/>
                <w:lang w:val="tr-TR"/>
              </w:rPr>
              <w:t>4</w:t>
            </w:r>
            <w:r w:rsidRPr="003B7561">
              <w:rPr>
                <w:rFonts w:ascii="Century" w:hAnsi="Century"/>
                <w:lang w:val="tr-TR"/>
              </w:rPr>
              <w:t>4 yaş grubu oluşturm</w:t>
            </w:r>
            <w:r w:rsidR="00C03E2D" w:rsidRPr="003B7561">
              <w:rPr>
                <w:rFonts w:ascii="Century" w:hAnsi="Century"/>
                <w:lang w:val="tr-TR"/>
              </w:rPr>
              <w:t>uştur.</w:t>
            </w:r>
          </w:p>
          <w:p w:rsidR="00B00490" w:rsidRDefault="00B00490" w:rsidP="008D17FE">
            <w:pPr>
              <w:rPr>
                <w:rFonts w:ascii="Century" w:hAnsi="Century"/>
                <w:highlight w:val="yellow"/>
                <w:lang w:val="tr-TR"/>
              </w:rPr>
            </w:pPr>
          </w:p>
          <w:p w:rsidR="00622E8B" w:rsidRDefault="00622E8B" w:rsidP="008D17FE">
            <w:pPr>
              <w:rPr>
                <w:rFonts w:ascii="Century" w:hAnsi="Century"/>
                <w:highlight w:val="yellow"/>
                <w:lang w:val="tr-TR"/>
              </w:rPr>
            </w:pPr>
          </w:p>
          <w:p w:rsidR="00622E8B" w:rsidRDefault="00622E8B" w:rsidP="008D17FE">
            <w:pPr>
              <w:rPr>
                <w:rFonts w:ascii="Century" w:hAnsi="Century"/>
                <w:highlight w:val="yellow"/>
                <w:lang w:val="tr-TR"/>
              </w:rPr>
            </w:pPr>
          </w:p>
          <w:p w:rsidR="00622E8B" w:rsidRDefault="00622E8B" w:rsidP="008D17FE">
            <w:pPr>
              <w:rPr>
                <w:rFonts w:ascii="Century" w:hAnsi="Century"/>
                <w:highlight w:val="yellow"/>
                <w:lang w:val="tr-TR"/>
              </w:rPr>
            </w:pPr>
          </w:p>
          <w:p w:rsidR="00622E8B" w:rsidRDefault="00622E8B" w:rsidP="008D17FE">
            <w:pPr>
              <w:rPr>
                <w:rFonts w:ascii="Century" w:hAnsi="Century"/>
                <w:highlight w:val="yellow"/>
                <w:lang w:val="tr-TR"/>
              </w:rPr>
            </w:pPr>
          </w:p>
          <w:p w:rsidR="00D54945" w:rsidRPr="00367FA3" w:rsidRDefault="00D54945"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637A40" w:rsidRPr="00367FA3" w:rsidRDefault="00637A40" w:rsidP="008D17FE">
            <w:pPr>
              <w:rPr>
                <w:rFonts w:ascii="Century" w:hAnsi="Century"/>
                <w:highlight w:val="yellow"/>
                <w:lang w:val="tr-TR"/>
              </w:rPr>
            </w:pPr>
          </w:p>
          <w:p w:rsidR="004C3C96" w:rsidRPr="00367FA3" w:rsidRDefault="004C3C96" w:rsidP="008D17FE">
            <w:pPr>
              <w:rPr>
                <w:rFonts w:ascii="Century" w:hAnsi="Century"/>
                <w:highlight w:val="yellow"/>
                <w:lang w:val="tr-TR"/>
              </w:rPr>
            </w:pPr>
          </w:p>
          <w:p w:rsidR="00637A40" w:rsidRPr="00CF3FF2" w:rsidRDefault="00637A40" w:rsidP="00637A40">
            <w:pPr>
              <w:jc w:val="both"/>
              <w:rPr>
                <w:rFonts w:ascii="Century" w:hAnsi="Century"/>
                <w:color w:val="404040"/>
              </w:rPr>
            </w:pPr>
            <w:r w:rsidRPr="00CF3FF2">
              <w:rPr>
                <w:rFonts w:ascii="Century" w:hAnsi="Century"/>
                <w:color w:val="404040"/>
              </w:rPr>
              <w:t xml:space="preserve">Nearly </w:t>
            </w:r>
            <w:r w:rsidR="008075A3" w:rsidRPr="00CF3FF2">
              <w:rPr>
                <w:rFonts w:ascii="Century" w:hAnsi="Century"/>
                <w:color w:val="404040"/>
              </w:rPr>
              <w:t>7</w:t>
            </w:r>
            <w:r w:rsidR="003B7561" w:rsidRPr="00CF3FF2">
              <w:rPr>
                <w:rFonts w:ascii="Century" w:hAnsi="Century"/>
                <w:color w:val="404040"/>
              </w:rPr>
              <w:t>4</w:t>
            </w:r>
            <w:r w:rsidRPr="00CF3FF2">
              <w:rPr>
                <w:rFonts w:ascii="Century" w:hAnsi="Century"/>
                <w:color w:val="404040"/>
              </w:rPr>
              <w:t>% of the contracts executed in 200</w:t>
            </w:r>
            <w:r w:rsidR="003B7561" w:rsidRPr="00CF3FF2">
              <w:rPr>
                <w:rFonts w:ascii="Century" w:hAnsi="Century"/>
                <w:color w:val="404040"/>
              </w:rPr>
              <w:t>7 belong to 25-4</w:t>
            </w:r>
            <w:r w:rsidRPr="00CF3FF2">
              <w:rPr>
                <w:rFonts w:ascii="Century" w:hAnsi="Century"/>
                <w:color w:val="404040"/>
              </w:rPr>
              <w:t>4 age groups.</w:t>
            </w:r>
          </w:p>
          <w:p w:rsidR="00637A40" w:rsidRPr="00367FA3" w:rsidRDefault="00637A40" w:rsidP="008D17FE">
            <w:pPr>
              <w:rPr>
                <w:rFonts w:ascii="Century" w:hAnsi="Century"/>
                <w:highlight w:val="yellow"/>
                <w:lang w:val="tr-TR"/>
              </w:rPr>
            </w:pPr>
          </w:p>
        </w:tc>
      </w:tr>
      <w:tr w:rsidR="00E21DE1" w:rsidRPr="00367FA3">
        <w:tc>
          <w:tcPr>
            <w:tcW w:w="9855" w:type="dxa"/>
            <w:gridSpan w:val="5"/>
          </w:tcPr>
          <w:p w:rsidR="00E21DE1" w:rsidRPr="003B7561" w:rsidRDefault="00E21DE1" w:rsidP="00D96FCE">
            <w:pPr>
              <w:pStyle w:val="ResimYazs"/>
              <w:jc w:val="center"/>
              <w:rPr>
                <w:rFonts w:ascii="Century" w:hAnsi="Century"/>
                <w:b w:val="0"/>
                <w:i/>
                <w:lang w:val="tr-TR"/>
              </w:rPr>
            </w:pPr>
            <w:bookmarkStart w:id="40" w:name="_Toc170278156"/>
            <w:bookmarkStart w:id="41" w:name="_Toc170665580"/>
            <w:r w:rsidRPr="003B7561">
              <w:rPr>
                <w:rFonts w:ascii="Century" w:hAnsi="Century"/>
                <w:lang w:val="tr-TR"/>
              </w:rPr>
              <w:lastRenderedPageBreak/>
              <w:t xml:space="preserve">Grafik </w:t>
            </w:r>
            <w:r w:rsidRPr="003B7561">
              <w:rPr>
                <w:rFonts w:ascii="Century" w:hAnsi="Century"/>
                <w:lang w:val="tr-TR"/>
              </w:rPr>
              <w:fldChar w:fldCharType="begin"/>
            </w:r>
            <w:r w:rsidRPr="003B7561">
              <w:rPr>
                <w:rFonts w:ascii="Century" w:hAnsi="Century"/>
                <w:lang w:val="tr-TR"/>
              </w:rPr>
              <w:instrText xml:space="preserve"> STYLEREF 2 \s </w:instrText>
            </w:r>
            <w:r w:rsidRPr="003B7561">
              <w:rPr>
                <w:rFonts w:ascii="Century" w:hAnsi="Century"/>
                <w:lang w:val="tr-TR"/>
              </w:rPr>
              <w:fldChar w:fldCharType="separate"/>
            </w:r>
            <w:r w:rsidR="00DA718E">
              <w:rPr>
                <w:rFonts w:ascii="Century" w:hAnsi="Century"/>
                <w:noProof/>
                <w:lang w:val="tr-TR"/>
              </w:rPr>
              <w:t>1.3</w:t>
            </w:r>
            <w:r w:rsidRPr="003B7561">
              <w:rPr>
                <w:rFonts w:ascii="Century" w:hAnsi="Century"/>
                <w:lang w:val="tr-TR"/>
              </w:rPr>
              <w:fldChar w:fldCharType="end"/>
            </w:r>
            <w:r w:rsidRPr="003B7561">
              <w:rPr>
                <w:rFonts w:ascii="Century" w:hAnsi="Century"/>
                <w:lang w:val="tr-TR"/>
              </w:rPr>
              <w:noBreakHyphen/>
            </w:r>
            <w:r w:rsidRPr="003B7561">
              <w:rPr>
                <w:rFonts w:ascii="Century" w:hAnsi="Century"/>
                <w:lang w:val="tr-TR"/>
              </w:rPr>
              <w:fldChar w:fldCharType="begin"/>
            </w:r>
            <w:r w:rsidRPr="003B7561">
              <w:rPr>
                <w:rFonts w:ascii="Century" w:hAnsi="Century"/>
                <w:lang w:val="tr-TR"/>
              </w:rPr>
              <w:instrText xml:space="preserve"> SEQ Grafik \* ARABIC \s 2 </w:instrText>
            </w:r>
            <w:r w:rsidRPr="003B7561">
              <w:rPr>
                <w:rFonts w:ascii="Century" w:hAnsi="Century"/>
                <w:lang w:val="tr-TR"/>
              </w:rPr>
              <w:fldChar w:fldCharType="separate"/>
            </w:r>
            <w:r w:rsidR="00DA718E">
              <w:rPr>
                <w:rFonts w:ascii="Century" w:hAnsi="Century"/>
                <w:noProof/>
                <w:lang w:val="tr-TR"/>
              </w:rPr>
              <w:t>2</w:t>
            </w:r>
            <w:r w:rsidRPr="003B7561">
              <w:rPr>
                <w:rFonts w:ascii="Century" w:hAnsi="Century"/>
                <w:lang w:val="tr-TR"/>
              </w:rPr>
              <w:fldChar w:fldCharType="end"/>
            </w:r>
            <w:r w:rsidRPr="003B7561">
              <w:rPr>
                <w:rFonts w:ascii="Century" w:hAnsi="Century"/>
                <w:lang w:val="tr-TR"/>
              </w:rPr>
              <w:t xml:space="preserve">; Yaş Gruplarına Göre Dağılımı – </w:t>
            </w:r>
            <w:r w:rsidRPr="003B7561">
              <w:rPr>
                <w:rFonts w:ascii="Century" w:hAnsi="Century"/>
                <w:b w:val="0"/>
                <w:i/>
                <w:lang w:val="tr-TR"/>
              </w:rPr>
              <w:t>Distribution of Cont. with respect to Age</w:t>
            </w:r>
            <w:bookmarkEnd w:id="40"/>
            <w:bookmarkEnd w:id="41"/>
          </w:p>
          <w:p w:rsidR="00CC088B" w:rsidRPr="00B764E5" w:rsidRDefault="00B764E5" w:rsidP="00D96FCE">
            <w:pPr>
              <w:jc w:val="center"/>
              <w:rPr>
                <w:rFonts w:ascii="Century" w:hAnsi="Century"/>
                <w:highlight w:val="yellow"/>
                <w:lang w:val="tr-TR"/>
              </w:rPr>
            </w:pPr>
            <w:r w:rsidRPr="00B764E5">
              <w:rPr>
                <w:rFonts w:ascii="Century" w:hAnsi="Century"/>
                <w:lang w:val="tr-TR"/>
              </w:rPr>
              <w:pict>
                <v:shape id="_x0000_i1046" type="#_x0000_t75" style="width:437.25pt;height:207.75pt">
                  <v:imagedata r:id="rId36" o:title=""/>
                </v:shape>
              </w:pict>
            </w:r>
          </w:p>
        </w:tc>
      </w:tr>
      <w:tr w:rsidR="004649B1" w:rsidRPr="00367FA3">
        <w:tc>
          <w:tcPr>
            <w:tcW w:w="4815" w:type="dxa"/>
            <w:gridSpan w:val="2"/>
          </w:tcPr>
          <w:p w:rsidR="00AA648B" w:rsidRPr="00367FA3" w:rsidRDefault="00AA648B" w:rsidP="008D17FE">
            <w:pPr>
              <w:jc w:val="both"/>
              <w:rPr>
                <w:rFonts w:ascii="Century" w:hAnsi="Century"/>
                <w:highlight w:val="yellow"/>
                <w:lang w:val="tr-TR"/>
              </w:rPr>
            </w:pPr>
          </w:p>
          <w:p w:rsidR="00A11914" w:rsidRPr="003B7561" w:rsidRDefault="00A11914" w:rsidP="008D17FE">
            <w:pPr>
              <w:jc w:val="both"/>
              <w:rPr>
                <w:rFonts w:ascii="Century" w:hAnsi="Century"/>
                <w:lang w:val="tr-TR"/>
              </w:rPr>
            </w:pPr>
            <w:r w:rsidRPr="003B7561">
              <w:rPr>
                <w:rFonts w:ascii="Century" w:hAnsi="Century"/>
                <w:lang w:val="tr-TR"/>
              </w:rPr>
              <w:t>Bireysel emeklilik sözleşmelerinin ödeme periyoduna göre dağılımı incelendiğinde, katılımcıların %</w:t>
            </w:r>
            <w:r w:rsidR="0042127E" w:rsidRPr="003B7561">
              <w:rPr>
                <w:rFonts w:ascii="Century" w:hAnsi="Century"/>
                <w:lang w:val="tr-TR"/>
              </w:rPr>
              <w:t xml:space="preserve"> </w:t>
            </w:r>
            <w:r w:rsidRPr="003B7561">
              <w:rPr>
                <w:rFonts w:ascii="Century" w:hAnsi="Century"/>
                <w:lang w:val="tr-TR"/>
              </w:rPr>
              <w:t xml:space="preserve">91’inin </w:t>
            </w:r>
            <w:r w:rsidR="00B66F6B" w:rsidRPr="00B66F6B">
              <w:rPr>
                <w:rFonts w:ascii="Century" w:hAnsi="Century"/>
                <w:lang w:val="tr-TR"/>
              </w:rPr>
              <w:t xml:space="preserve">aylık katkı payı ödemeyi </w:t>
            </w:r>
            <w:r w:rsidRPr="00B66F6B">
              <w:rPr>
                <w:rFonts w:ascii="Century" w:hAnsi="Century"/>
                <w:lang w:val="tr-TR"/>
              </w:rPr>
              <w:t>tercih ettiği görülmektedir.</w:t>
            </w:r>
          </w:p>
          <w:p w:rsidR="000355EE" w:rsidRPr="003B7561" w:rsidRDefault="000355EE" w:rsidP="008D17FE">
            <w:pPr>
              <w:rPr>
                <w:rFonts w:ascii="Century" w:hAnsi="Century"/>
                <w:lang w:val="tr-TR"/>
              </w:rPr>
            </w:pPr>
          </w:p>
          <w:p w:rsidR="004C3C96" w:rsidRPr="00367FA3" w:rsidRDefault="004C3C96"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AA648B" w:rsidRPr="00C43A16" w:rsidRDefault="00AA648B" w:rsidP="000902C4">
            <w:pPr>
              <w:jc w:val="both"/>
              <w:rPr>
                <w:rFonts w:ascii="Century" w:hAnsi="Century"/>
                <w:color w:val="595959"/>
                <w:highlight w:val="yellow"/>
                <w:lang w:val="tr-TR"/>
              </w:rPr>
            </w:pPr>
          </w:p>
          <w:p w:rsidR="000902C4" w:rsidRPr="00CF3FF2" w:rsidRDefault="00B00490" w:rsidP="000902C4">
            <w:pPr>
              <w:jc w:val="both"/>
              <w:rPr>
                <w:rFonts w:ascii="Century" w:hAnsi="Century"/>
                <w:color w:val="404040"/>
              </w:rPr>
            </w:pPr>
            <w:r w:rsidRPr="00CF3FF2">
              <w:rPr>
                <w:rFonts w:ascii="Century" w:hAnsi="Century"/>
                <w:color w:val="404040"/>
              </w:rPr>
              <w:t>When looked into distribution of contracts</w:t>
            </w:r>
            <w:r w:rsidR="00EE4785" w:rsidRPr="00CF3FF2">
              <w:rPr>
                <w:rFonts w:ascii="Century" w:hAnsi="Century"/>
                <w:color w:val="404040"/>
              </w:rPr>
              <w:t xml:space="preserve"> with respect to payment period, i</w:t>
            </w:r>
            <w:r w:rsidR="003B7561" w:rsidRPr="00CF3FF2">
              <w:rPr>
                <w:rFonts w:ascii="Century" w:hAnsi="Century"/>
                <w:color w:val="404040"/>
              </w:rPr>
              <w:t xml:space="preserve">t is seen that </w:t>
            </w:r>
            <w:r w:rsidR="000902C4" w:rsidRPr="00CF3FF2">
              <w:rPr>
                <w:rFonts w:ascii="Century" w:hAnsi="Century"/>
                <w:color w:val="404040"/>
              </w:rPr>
              <w:t xml:space="preserve">91% of participants in private pension system prefer monthly payments. </w:t>
            </w:r>
          </w:p>
          <w:p w:rsidR="004649B1" w:rsidRPr="00367FA3" w:rsidRDefault="004649B1" w:rsidP="008D17FE">
            <w:pPr>
              <w:rPr>
                <w:rFonts w:ascii="Century" w:hAnsi="Century"/>
                <w:color w:val="595959"/>
                <w:highlight w:val="yellow"/>
                <w:lang w:val="tr-TR"/>
              </w:rPr>
            </w:pPr>
          </w:p>
        </w:tc>
      </w:tr>
      <w:tr w:rsidR="00A11914" w:rsidRPr="00367FA3">
        <w:tc>
          <w:tcPr>
            <w:tcW w:w="9855" w:type="dxa"/>
            <w:gridSpan w:val="5"/>
          </w:tcPr>
          <w:p w:rsidR="00A11914" w:rsidRPr="003B7561" w:rsidRDefault="00A11914" w:rsidP="00D96FCE">
            <w:pPr>
              <w:pStyle w:val="ResimYazs"/>
              <w:jc w:val="center"/>
              <w:rPr>
                <w:rFonts w:ascii="Century" w:hAnsi="Century"/>
                <w:b w:val="0"/>
                <w:lang w:val="tr-TR"/>
              </w:rPr>
            </w:pPr>
            <w:bookmarkStart w:id="42" w:name="_Toc170665534"/>
            <w:r w:rsidRPr="003B7561">
              <w:rPr>
                <w:rFonts w:ascii="Century" w:hAnsi="Century"/>
                <w:lang w:val="tr-TR"/>
              </w:rPr>
              <w:t xml:space="preserve">Tablo </w:t>
            </w:r>
            <w:r w:rsidRPr="003B7561">
              <w:rPr>
                <w:rFonts w:ascii="Century" w:hAnsi="Century"/>
                <w:lang w:val="tr-TR"/>
              </w:rPr>
              <w:fldChar w:fldCharType="begin"/>
            </w:r>
            <w:r w:rsidRPr="003B7561">
              <w:rPr>
                <w:rFonts w:ascii="Century" w:hAnsi="Century"/>
                <w:lang w:val="tr-TR"/>
              </w:rPr>
              <w:instrText xml:space="preserve"> STYLEREF 2 \s </w:instrText>
            </w:r>
            <w:r w:rsidRPr="003B7561">
              <w:rPr>
                <w:rFonts w:ascii="Century" w:hAnsi="Century"/>
                <w:lang w:val="tr-TR"/>
              </w:rPr>
              <w:fldChar w:fldCharType="separate"/>
            </w:r>
            <w:r w:rsidR="00DA718E">
              <w:rPr>
                <w:rFonts w:ascii="Century" w:hAnsi="Century"/>
                <w:noProof/>
                <w:lang w:val="tr-TR"/>
              </w:rPr>
              <w:t>1.3</w:t>
            </w:r>
            <w:r w:rsidRPr="003B7561">
              <w:rPr>
                <w:rFonts w:ascii="Century" w:hAnsi="Century"/>
                <w:lang w:val="tr-TR"/>
              </w:rPr>
              <w:fldChar w:fldCharType="end"/>
            </w:r>
            <w:r w:rsidRPr="003B7561">
              <w:rPr>
                <w:rFonts w:ascii="Century" w:hAnsi="Century"/>
                <w:lang w:val="tr-TR"/>
              </w:rPr>
              <w:noBreakHyphen/>
            </w:r>
            <w:r w:rsidRPr="003B7561">
              <w:rPr>
                <w:rFonts w:ascii="Century" w:hAnsi="Century"/>
                <w:lang w:val="tr-TR"/>
              </w:rPr>
              <w:fldChar w:fldCharType="begin"/>
            </w:r>
            <w:r w:rsidRPr="003B7561">
              <w:rPr>
                <w:rFonts w:ascii="Century" w:hAnsi="Century"/>
                <w:lang w:val="tr-TR"/>
              </w:rPr>
              <w:instrText xml:space="preserve"> SEQ Tablo \* ARABIC \s 2 </w:instrText>
            </w:r>
            <w:r w:rsidRPr="003B7561">
              <w:rPr>
                <w:rFonts w:ascii="Century" w:hAnsi="Century"/>
                <w:lang w:val="tr-TR"/>
              </w:rPr>
              <w:fldChar w:fldCharType="separate"/>
            </w:r>
            <w:r w:rsidR="00DA718E">
              <w:rPr>
                <w:rFonts w:ascii="Century" w:hAnsi="Century"/>
                <w:noProof/>
                <w:lang w:val="tr-TR"/>
              </w:rPr>
              <w:t>9</w:t>
            </w:r>
            <w:r w:rsidRPr="003B7561">
              <w:rPr>
                <w:rFonts w:ascii="Century" w:hAnsi="Century"/>
                <w:lang w:val="tr-TR"/>
              </w:rPr>
              <w:fldChar w:fldCharType="end"/>
            </w:r>
            <w:r w:rsidRPr="003B7561">
              <w:rPr>
                <w:rFonts w:ascii="Century" w:hAnsi="Century"/>
                <w:lang w:val="tr-TR"/>
              </w:rPr>
              <w:t xml:space="preserve">; </w:t>
            </w:r>
            <w:r w:rsidRPr="003B7561">
              <w:rPr>
                <w:rFonts w:ascii="Century" w:hAnsi="Century"/>
                <w:bCs w:val="0"/>
                <w:lang w:val="tr-TR"/>
              </w:rPr>
              <w:t xml:space="preserve">Ödeme Periyoduna Göre Dağılım - </w:t>
            </w:r>
            <w:r w:rsidRPr="003B7561">
              <w:rPr>
                <w:rFonts w:ascii="Century" w:hAnsi="Century"/>
                <w:b w:val="0"/>
                <w:i/>
                <w:iCs/>
                <w:lang w:val="tr-TR"/>
              </w:rPr>
              <w:t>Distribution of Cont. with Respect to Payment Period</w:t>
            </w:r>
            <w:bookmarkEnd w:id="42"/>
          </w:p>
          <w:p w:rsidR="00A11914" w:rsidRPr="002E2E1F" w:rsidRDefault="002E2E1F" w:rsidP="00D96FCE">
            <w:pPr>
              <w:jc w:val="center"/>
              <w:rPr>
                <w:rFonts w:ascii="Century" w:hAnsi="Century"/>
                <w:highlight w:val="yellow"/>
                <w:lang w:val="tr-TR"/>
              </w:rPr>
            </w:pPr>
            <w:r w:rsidRPr="002E2E1F">
              <w:rPr>
                <w:rFonts w:ascii="Century" w:hAnsi="Century"/>
                <w:lang w:val="tr-TR"/>
              </w:rPr>
              <w:pict>
                <v:shape id="_x0000_i1047" type="#_x0000_t75" style="width:364.5pt;height:76.5pt">
                  <v:imagedata r:id="rId37" o:title=""/>
                </v:shape>
              </w:pict>
            </w:r>
          </w:p>
        </w:tc>
      </w:tr>
      <w:tr w:rsidR="004649B1" w:rsidRPr="00367FA3">
        <w:tc>
          <w:tcPr>
            <w:tcW w:w="4815" w:type="dxa"/>
            <w:gridSpan w:val="2"/>
          </w:tcPr>
          <w:p w:rsidR="000355EE" w:rsidRPr="00367FA3" w:rsidRDefault="000355EE" w:rsidP="008D17FE">
            <w:pPr>
              <w:jc w:val="both"/>
              <w:rPr>
                <w:rFonts w:ascii="Century" w:hAnsi="Century"/>
                <w:highlight w:val="yellow"/>
                <w:lang w:val="tr-TR"/>
              </w:rPr>
            </w:pPr>
          </w:p>
          <w:p w:rsidR="00D61B7D" w:rsidRPr="003B7561" w:rsidRDefault="00D61B7D" w:rsidP="008D17FE">
            <w:pPr>
              <w:jc w:val="both"/>
              <w:rPr>
                <w:rFonts w:ascii="Century" w:hAnsi="Century"/>
                <w:lang w:val="tr-TR"/>
              </w:rPr>
            </w:pPr>
          </w:p>
          <w:p w:rsidR="00A11914" w:rsidRPr="003B7561" w:rsidRDefault="00A11914" w:rsidP="008D17FE">
            <w:pPr>
              <w:jc w:val="both"/>
              <w:rPr>
                <w:rFonts w:ascii="Century" w:hAnsi="Century"/>
                <w:lang w:val="tr-TR"/>
              </w:rPr>
            </w:pPr>
            <w:r w:rsidRPr="003B7561">
              <w:rPr>
                <w:rFonts w:ascii="Century" w:hAnsi="Century"/>
                <w:lang w:val="tr-TR"/>
              </w:rPr>
              <w:t xml:space="preserve">Sözleşmelerin aylık katkı payı tutarına göre dağılımı incelendiğinde ise, yıllar itibariyle </w:t>
            </w:r>
            <w:r w:rsidR="00B37ACA">
              <w:rPr>
                <w:rFonts w:ascii="Century" w:hAnsi="Century"/>
                <w:lang w:val="tr-TR"/>
              </w:rPr>
              <w:t>çoğunlukla</w:t>
            </w:r>
            <w:r w:rsidR="003B7561" w:rsidRPr="003B7561">
              <w:rPr>
                <w:rFonts w:ascii="Century" w:hAnsi="Century"/>
                <w:lang w:val="tr-TR"/>
              </w:rPr>
              <w:t xml:space="preserve"> </w:t>
            </w:r>
            <w:r w:rsidRPr="003B7561">
              <w:rPr>
                <w:rFonts w:ascii="Century" w:hAnsi="Century"/>
                <w:lang w:val="tr-TR"/>
              </w:rPr>
              <w:t xml:space="preserve">100 YTL </w:t>
            </w:r>
            <w:r w:rsidR="00C03E2D" w:rsidRPr="003B7561">
              <w:rPr>
                <w:rFonts w:ascii="Century" w:hAnsi="Century"/>
                <w:lang w:val="tr-TR"/>
              </w:rPr>
              <w:t xml:space="preserve">ve </w:t>
            </w:r>
            <w:r w:rsidR="00B37ACA">
              <w:rPr>
                <w:rFonts w:ascii="Century" w:hAnsi="Century"/>
                <w:lang w:val="tr-TR"/>
              </w:rPr>
              <w:t>altında</w:t>
            </w:r>
            <w:r w:rsidR="00C03E2D" w:rsidRPr="003B7561">
              <w:rPr>
                <w:rFonts w:ascii="Century" w:hAnsi="Century"/>
                <w:lang w:val="tr-TR"/>
              </w:rPr>
              <w:t xml:space="preserve"> </w:t>
            </w:r>
            <w:r w:rsidRPr="003B7561">
              <w:rPr>
                <w:rFonts w:ascii="Century" w:hAnsi="Century"/>
                <w:lang w:val="tr-TR"/>
              </w:rPr>
              <w:t>katkı payı ödeme</w:t>
            </w:r>
            <w:r w:rsidR="003B7561" w:rsidRPr="003B7561">
              <w:rPr>
                <w:rFonts w:ascii="Century" w:hAnsi="Century"/>
                <w:lang w:val="tr-TR"/>
              </w:rPr>
              <w:t>sinin tercih edildiği, ancak</w:t>
            </w:r>
            <w:r w:rsidRPr="003B7561">
              <w:rPr>
                <w:rFonts w:ascii="Century" w:hAnsi="Century"/>
                <w:lang w:val="tr-TR"/>
              </w:rPr>
              <w:t xml:space="preserve"> 2006</w:t>
            </w:r>
            <w:r w:rsidR="003B7561" w:rsidRPr="003B7561">
              <w:rPr>
                <w:rFonts w:ascii="Century" w:hAnsi="Century"/>
                <w:lang w:val="tr-TR"/>
              </w:rPr>
              <w:t xml:space="preserve"> ve 2007</w:t>
            </w:r>
            <w:r w:rsidRPr="003B7561">
              <w:rPr>
                <w:rFonts w:ascii="Century" w:hAnsi="Century"/>
                <w:lang w:val="tr-TR"/>
              </w:rPr>
              <w:t xml:space="preserve"> yılında 101-200 YTL arası ödemelerde</w:t>
            </w:r>
            <w:r w:rsidR="00034F76" w:rsidRPr="003B7561">
              <w:rPr>
                <w:rFonts w:ascii="Century" w:hAnsi="Century"/>
                <w:lang w:val="tr-TR"/>
              </w:rPr>
              <w:t xml:space="preserve">ki </w:t>
            </w:r>
            <w:r w:rsidR="00B37ACA">
              <w:rPr>
                <w:rFonts w:ascii="Century" w:hAnsi="Century"/>
                <w:lang w:val="tr-TR"/>
              </w:rPr>
              <w:t xml:space="preserve">oransal </w:t>
            </w:r>
            <w:r w:rsidR="00034F76" w:rsidRPr="003B7561">
              <w:rPr>
                <w:rFonts w:ascii="Century" w:hAnsi="Century"/>
                <w:lang w:val="tr-TR"/>
              </w:rPr>
              <w:t>artış</w:t>
            </w:r>
            <w:r w:rsidR="00B37ACA">
              <w:rPr>
                <w:rFonts w:ascii="Century" w:hAnsi="Century"/>
                <w:lang w:val="tr-TR"/>
              </w:rPr>
              <w:t>ın</w:t>
            </w:r>
            <w:r w:rsidR="00034F76" w:rsidRPr="003B7561">
              <w:rPr>
                <w:rFonts w:ascii="Century" w:hAnsi="Century"/>
                <w:lang w:val="tr-TR"/>
              </w:rPr>
              <w:t xml:space="preserve"> daha yüksek </w:t>
            </w:r>
            <w:r w:rsidRPr="003B7561">
              <w:rPr>
                <w:rFonts w:ascii="Century" w:hAnsi="Century"/>
                <w:lang w:val="tr-TR"/>
              </w:rPr>
              <w:t>olduğu görülmektedir.</w:t>
            </w:r>
          </w:p>
          <w:p w:rsidR="000355EE" w:rsidRPr="00367FA3" w:rsidRDefault="000355EE" w:rsidP="008D17FE">
            <w:pPr>
              <w:rPr>
                <w:rFonts w:ascii="Century" w:hAnsi="Century"/>
                <w:highlight w:val="yellow"/>
                <w:lang w:val="tr-TR"/>
              </w:rPr>
            </w:pPr>
          </w:p>
          <w:p w:rsidR="004C3C96" w:rsidRPr="00367FA3" w:rsidRDefault="004C3C96"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4649B1" w:rsidRPr="00367FA3" w:rsidRDefault="004649B1" w:rsidP="008D17FE">
            <w:pPr>
              <w:rPr>
                <w:rFonts w:ascii="Century" w:hAnsi="Century"/>
                <w:highlight w:val="yellow"/>
                <w:lang w:val="tr-TR"/>
              </w:rPr>
            </w:pPr>
          </w:p>
          <w:p w:rsidR="000902C4" w:rsidRPr="003B7561" w:rsidRDefault="000902C4" w:rsidP="008D17FE">
            <w:pPr>
              <w:rPr>
                <w:rFonts w:ascii="Century" w:hAnsi="Century"/>
                <w:lang w:val="tr-TR"/>
              </w:rPr>
            </w:pPr>
          </w:p>
          <w:p w:rsidR="000902C4" w:rsidRPr="00CF3FF2" w:rsidRDefault="00EE4785" w:rsidP="000902C4">
            <w:pPr>
              <w:jc w:val="both"/>
              <w:rPr>
                <w:rFonts w:ascii="Century" w:hAnsi="Century"/>
                <w:color w:val="404040"/>
              </w:rPr>
            </w:pPr>
            <w:r w:rsidRPr="00CF3FF2">
              <w:rPr>
                <w:rFonts w:ascii="Century" w:hAnsi="Century"/>
                <w:color w:val="404040"/>
              </w:rPr>
              <w:t xml:space="preserve">According to </w:t>
            </w:r>
            <w:r w:rsidR="00B00490" w:rsidRPr="00CF3FF2">
              <w:rPr>
                <w:rFonts w:ascii="Century" w:hAnsi="Century"/>
                <w:color w:val="404040"/>
              </w:rPr>
              <w:t>table 1.3-10,</w:t>
            </w:r>
            <w:r w:rsidRPr="00CF3FF2">
              <w:rPr>
                <w:rFonts w:ascii="Century" w:hAnsi="Century"/>
                <w:color w:val="404040"/>
              </w:rPr>
              <w:t xml:space="preserve"> </w:t>
            </w:r>
            <w:r w:rsidR="00B00490" w:rsidRPr="00CF3FF2">
              <w:rPr>
                <w:rFonts w:ascii="Century" w:hAnsi="Century"/>
                <w:color w:val="404040"/>
              </w:rPr>
              <w:t xml:space="preserve">contribution payment </w:t>
            </w:r>
            <w:r w:rsidRPr="00CF3FF2">
              <w:rPr>
                <w:rFonts w:ascii="Century" w:hAnsi="Century"/>
                <w:color w:val="404040"/>
              </w:rPr>
              <w:t>amount of</w:t>
            </w:r>
            <w:r w:rsidR="00B00490" w:rsidRPr="00CF3FF2">
              <w:rPr>
                <w:rFonts w:ascii="Century" w:hAnsi="Century"/>
                <w:color w:val="404040"/>
              </w:rPr>
              <w:t xml:space="preserve"> 100 YTL or below was mostly preferred for the years. H</w:t>
            </w:r>
            <w:r w:rsidR="000902C4" w:rsidRPr="00CF3FF2">
              <w:rPr>
                <w:rFonts w:ascii="Century" w:hAnsi="Century"/>
                <w:color w:val="404040"/>
              </w:rPr>
              <w:t>owever</w:t>
            </w:r>
            <w:r w:rsidR="00B00490" w:rsidRPr="00CF3FF2">
              <w:rPr>
                <w:rFonts w:ascii="Century" w:hAnsi="Century"/>
                <w:color w:val="404040"/>
              </w:rPr>
              <w:t>,</w:t>
            </w:r>
            <w:r w:rsidR="000902C4" w:rsidRPr="00CF3FF2">
              <w:rPr>
                <w:rFonts w:ascii="Century" w:hAnsi="Century"/>
                <w:color w:val="404040"/>
              </w:rPr>
              <w:t xml:space="preserve"> payments amounted between</w:t>
            </w:r>
            <w:r w:rsidR="00B00490" w:rsidRPr="00CF3FF2">
              <w:rPr>
                <w:rFonts w:ascii="Century" w:hAnsi="Century"/>
                <w:color w:val="404040"/>
              </w:rPr>
              <w:t xml:space="preserve"> </w:t>
            </w:r>
            <w:r w:rsidR="000902C4" w:rsidRPr="00CF3FF2">
              <w:rPr>
                <w:rFonts w:ascii="Century" w:hAnsi="Century"/>
                <w:color w:val="404040"/>
              </w:rPr>
              <w:t>101</w:t>
            </w:r>
            <w:r w:rsidR="00E24467" w:rsidRPr="00CF3FF2">
              <w:rPr>
                <w:rFonts w:ascii="Century" w:hAnsi="Century"/>
                <w:color w:val="404040"/>
              </w:rPr>
              <w:t xml:space="preserve"> and </w:t>
            </w:r>
            <w:r w:rsidR="000902C4" w:rsidRPr="00CF3FF2">
              <w:rPr>
                <w:rFonts w:ascii="Century" w:hAnsi="Century"/>
                <w:color w:val="404040"/>
              </w:rPr>
              <w:t>200 YTL increased more</w:t>
            </w:r>
            <w:r w:rsidR="00B00490" w:rsidRPr="00CF3FF2">
              <w:rPr>
                <w:rFonts w:ascii="Century" w:hAnsi="Century"/>
                <w:color w:val="404040"/>
              </w:rPr>
              <w:t xml:space="preserve"> as a percentage in 2006</w:t>
            </w:r>
            <w:r w:rsidR="003B7561" w:rsidRPr="00CF3FF2">
              <w:rPr>
                <w:rFonts w:ascii="Century" w:hAnsi="Century"/>
                <w:color w:val="404040"/>
              </w:rPr>
              <w:t xml:space="preserve"> and 2007</w:t>
            </w:r>
            <w:r w:rsidR="000902C4" w:rsidRPr="00CF3FF2">
              <w:rPr>
                <w:rFonts w:ascii="Century" w:hAnsi="Century"/>
                <w:color w:val="404040"/>
              </w:rPr>
              <w:t>.</w:t>
            </w:r>
          </w:p>
          <w:p w:rsidR="000902C4" w:rsidRPr="00367FA3" w:rsidRDefault="000902C4" w:rsidP="008D17FE">
            <w:pPr>
              <w:rPr>
                <w:rFonts w:ascii="Century" w:hAnsi="Century"/>
                <w:highlight w:val="yellow"/>
                <w:lang w:val="tr-TR"/>
              </w:rPr>
            </w:pPr>
          </w:p>
        </w:tc>
      </w:tr>
      <w:tr w:rsidR="00A11914" w:rsidRPr="00367FA3">
        <w:tc>
          <w:tcPr>
            <w:tcW w:w="9855" w:type="dxa"/>
            <w:gridSpan w:val="5"/>
          </w:tcPr>
          <w:p w:rsidR="00D35446" w:rsidRPr="003B7561" w:rsidRDefault="00D35446" w:rsidP="00D96FCE">
            <w:pPr>
              <w:pStyle w:val="ResimYazs"/>
              <w:jc w:val="center"/>
              <w:rPr>
                <w:rFonts w:ascii="Century" w:hAnsi="Century"/>
                <w:b w:val="0"/>
                <w:lang w:val="tr-TR"/>
              </w:rPr>
            </w:pPr>
            <w:bookmarkStart w:id="43" w:name="_Toc170665535"/>
            <w:r w:rsidRPr="003B7561">
              <w:rPr>
                <w:rFonts w:ascii="Century" w:hAnsi="Century"/>
                <w:lang w:val="tr-TR"/>
              </w:rPr>
              <w:t xml:space="preserve">Tablo </w:t>
            </w:r>
            <w:r w:rsidRPr="003B7561">
              <w:rPr>
                <w:rFonts w:ascii="Century" w:hAnsi="Century"/>
                <w:lang w:val="tr-TR"/>
              </w:rPr>
              <w:fldChar w:fldCharType="begin"/>
            </w:r>
            <w:r w:rsidRPr="003B7561">
              <w:rPr>
                <w:rFonts w:ascii="Century" w:hAnsi="Century"/>
                <w:lang w:val="tr-TR"/>
              </w:rPr>
              <w:instrText xml:space="preserve"> STYLEREF 2 \s </w:instrText>
            </w:r>
            <w:r w:rsidRPr="003B7561">
              <w:rPr>
                <w:rFonts w:ascii="Century" w:hAnsi="Century"/>
                <w:lang w:val="tr-TR"/>
              </w:rPr>
              <w:fldChar w:fldCharType="separate"/>
            </w:r>
            <w:r w:rsidR="00DA718E">
              <w:rPr>
                <w:rFonts w:ascii="Century" w:hAnsi="Century"/>
                <w:noProof/>
                <w:lang w:val="tr-TR"/>
              </w:rPr>
              <w:t>1.3</w:t>
            </w:r>
            <w:r w:rsidRPr="003B7561">
              <w:rPr>
                <w:rFonts w:ascii="Century" w:hAnsi="Century"/>
                <w:lang w:val="tr-TR"/>
              </w:rPr>
              <w:fldChar w:fldCharType="end"/>
            </w:r>
            <w:r w:rsidRPr="003B7561">
              <w:rPr>
                <w:rFonts w:ascii="Century" w:hAnsi="Century"/>
                <w:lang w:val="tr-TR"/>
              </w:rPr>
              <w:noBreakHyphen/>
            </w:r>
            <w:r w:rsidRPr="003B7561">
              <w:rPr>
                <w:rFonts w:ascii="Century" w:hAnsi="Century"/>
                <w:lang w:val="tr-TR"/>
              </w:rPr>
              <w:fldChar w:fldCharType="begin"/>
            </w:r>
            <w:r w:rsidRPr="003B7561">
              <w:rPr>
                <w:rFonts w:ascii="Century" w:hAnsi="Century"/>
                <w:lang w:val="tr-TR"/>
              </w:rPr>
              <w:instrText xml:space="preserve"> SEQ Tablo \* ARABIC \s 2 </w:instrText>
            </w:r>
            <w:r w:rsidRPr="003B7561">
              <w:rPr>
                <w:rFonts w:ascii="Century" w:hAnsi="Century"/>
                <w:lang w:val="tr-TR"/>
              </w:rPr>
              <w:fldChar w:fldCharType="separate"/>
            </w:r>
            <w:r w:rsidR="00DA718E">
              <w:rPr>
                <w:rFonts w:ascii="Century" w:hAnsi="Century"/>
                <w:noProof/>
                <w:lang w:val="tr-TR"/>
              </w:rPr>
              <w:t>10</w:t>
            </w:r>
            <w:r w:rsidRPr="003B7561">
              <w:rPr>
                <w:rFonts w:ascii="Century" w:hAnsi="Century"/>
                <w:lang w:val="tr-TR"/>
              </w:rPr>
              <w:fldChar w:fldCharType="end"/>
            </w:r>
            <w:r w:rsidRPr="003B7561">
              <w:rPr>
                <w:rFonts w:ascii="Century" w:hAnsi="Century"/>
                <w:lang w:val="tr-TR"/>
              </w:rPr>
              <w:t xml:space="preserve">; </w:t>
            </w:r>
            <w:r w:rsidRPr="003B7561">
              <w:rPr>
                <w:rFonts w:ascii="Century" w:hAnsi="Century"/>
                <w:bCs w:val="0"/>
                <w:lang w:val="tr-TR"/>
              </w:rPr>
              <w:t xml:space="preserve">Katkı Payı Tutarına Göre Dağılım – </w:t>
            </w:r>
            <w:r w:rsidRPr="003B7561">
              <w:rPr>
                <w:rFonts w:ascii="Century" w:hAnsi="Century"/>
                <w:b w:val="0"/>
                <w:i/>
                <w:iCs/>
                <w:lang w:val="tr-TR"/>
              </w:rPr>
              <w:t>Dist. of Cont.with Respect to Amount of Contribution</w:t>
            </w:r>
            <w:bookmarkEnd w:id="43"/>
          </w:p>
          <w:p w:rsidR="00A11914" w:rsidRPr="00620993" w:rsidRDefault="00620993" w:rsidP="00D96FCE">
            <w:pPr>
              <w:jc w:val="center"/>
              <w:rPr>
                <w:rFonts w:ascii="Century" w:hAnsi="Century"/>
                <w:lang w:val="tr-TR"/>
              </w:rPr>
            </w:pPr>
            <w:r w:rsidRPr="00620993">
              <w:rPr>
                <w:rFonts w:ascii="Century" w:hAnsi="Century"/>
                <w:lang w:val="tr-TR"/>
              </w:rPr>
              <w:pict>
                <v:shape id="_x0000_i1048" type="#_x0000_t75" style="width:429pt;height:63.75pt">
                  <v:imagedata r:id="rId38" o:title=""/>
                </v:shape>
              </w:pict>
            </w:r>
          </w:p>
          <w:p w:rsidR="002D50F0" w:rsidRDefault="002D50F0" w:rsidP="008D17FE">
            <w:pPr>
              <w:rPr>
                <w:rFonts w:ascii="Century" w:hAnsi="Century"/>
                <w:highlight w:val="yellow"/>
                <w:lang w:val="tr-TR"/>
              </w:rPr>
            </w:pPr>
          </w:p>
          <w:p w:rsidR="00EE7F22" w:rsidRDefault="00EE7F22" w:rsidP="008D17FE">
            <w:pPr>
              <w:rPr>
                <w:rFonts w:ascii="Century" w:hAnsi="Century"/>
                <w:highlight w:val="yellow"/>
                <w:lang w:val="tr-TR"/>
              </w:rPr>
            </w:pPr>
          </w:p>
          <w:p w:rsidR="0014625B" w:rsidRPr="00367FA3" w:rsidRDefault="0014625B" w:rsidP="008D17FE">
            <w:pPr>
              <w:rPr>
                <w:rFonts w:ascii="Century" w:hAnsi="Century"/>
                <w:highlight w:val="yellow"/>
                <w:lang w:val="tr-TR"/>
              </w:rPr>
            </w:pPr>
          </w:p>
        </w:tc>
      </w:tr>
      <w:tr w:rsidR="004649B1" w:rsidRPr="00367FA3">
        <w:tc>
          <w:tcPr>
            <w:tcW w:w="4815" w:type="dxa"/>
            <w:gridSpan w:val="2"/>
          </w:tcPr>
          <w:p w:rsidR="00F41831" w:rsidRPr="00A1333A" w:rsidRDefault="00F41831" w:rsidP="00102777">
            <w:pPr>
              <w:pStyle w:val="Balk2"/>
              <w:spacing w:before="0" w:after="0"/>
              <w:ind w:left="91"/>
              <w:jc w:val="both"/>
              <w:rPr>
                <w:rFonts w:ascii="Century" w:hAnsi="Century"/>
                <w:i w:val="0"/>
                <w:sz w:val="24"/>
                <w:szCs w:val="24"/>
                <w:lang w:val="tr-TR"/>
              </w:rPr>
            </w:pPr>
            <w:bookmarkStart w:id="44" w:name="_Toc170253089"/>
            <w:bookmarkStart w:id="45" w:name="_Toc198287697"/>
            <w:bookmarkStart w:id="46" w:name="_Toc199251244"/>
            <w:r w:rsidRPr="00A1333A">
              <w:rPr>
                <w:rFonts w:ascii="Century" w:hAnsi="Century"/>
                <w:i w:val="0"/>
                <w:sz w:val="24"/>
                <w:szCs w:val="24"/>
                <w:lang w:val="tr-TR"/>
              </w:rPr>
              <w:lastRenderedPageBreak/>
              <w:t>Sigorta, Reasürans ve Bireysel Emeklilik Şirketlerinin Mali Tabloları</w:t>
            </w:r>
            <w:bookmarkEnd w:id="44"/>
            <w:bookmarkEnd w:id="45"/>
            <w:bookmarkEnd w:id="46"/>
          </w:p>
          <w:p w:rsidR="002D50F0" w:rsidRPr="00A1333A" w:rsidRDefault="002D50F0" w:rsidP="002D50F0">
            <w:pPr>
              <w:rPr>
                <w:lang w:val="tr-TR"/>
              </w:rPr>
            </w:pPr>
          </w:p>
          <w:p w:rsidR="00F41831" w:rsidRPr="00A1333A" w:rsidRDefault="00E9638A" w:rsidP="0027174C">
            <w:pPr>
              <w:pStyle w:val="Balk3"/>
              <w:spacing w:before="0" w:after="0"/>
              <w:ind w:left="0"/>
              <w:jc w:val="both"/>
              <w:rPr>
                <w:rFonts w:ascii="Century" w:hAnsi="Century"/>
                <w:sz w:val="24"/>
                <w:szCs w:val="24"/>
                <w:lang w:val="tr-TR"/>
              </w:rPr>
            </w:pPr>
            <w:bookmarkStart w:id="47" w:name="_Toc170253090"/>
            <w:bookmarkStart w:id="48" w:name="_Toc198287698"/>
            <w:bookmarkStart w:id="49" w:name="_Toc199251245"/>
            <w:r w:rsidRPr="00A1333A">
              <w:rPr>
                <w:rFonts w:ascii="Century" w:hAnsi="Century"/>
                <w:sz w:val="24"/>
                <w:szCs w:val="24"/>
                <w:lang w:val="tr-TR"/>
              </w:rPr>
              <w:t>Sigorta</w:t>
            </w:r>
            <w:r w:rsidR="00E90B2C" w:rsidRPr="00A1333A">
              <w:rPr>
                <w:rFonts w:ascii="Century" w:hAnsi="Century"/>
                <w:sz w:val="24"/>
                <w:szCs w:val="24"/>
                <w:lang w:val="tr-TR"/>
              </w:rPr>
              <w:t>cılık</w:t>
            </w:r>
            <w:r w:rsidR="00F41831" w:rsidRPr="00A1333A">
              <w:rPr>
                <w:rFonts w:ascii="Century" w:hAnsi="Century"/>
                <w:sz w:val="24"/>
                <w:szCs w:val="24"/>
                <w:lang w:val="tr-TR"/>
              </w:rPr>
              <w:t xml:space="preserve"> ve Bireysel Emeklilik </w:t>
            </w:r>
            <w:r w:rsidRPr="00A1333A">
              <w:rPr>
                <w:rFonts w:ascii="Century" w:hAnsi="Century"/>
                <w:sz w:val="24"/>
                <w:szCs w:val="24"/>
                <w:lang w:val="tr-TR"/>
              </w:rPr>
              <w:t>Sektörü</w:t>
            </w:r>
            <w:r w:rsidR="00F41831" w:rsidRPr="00A1333A">
              <w:rPr>
                <w:rFonts w:ascii="Century" w:hAnsi="Century"/>
                <w:sz w:val="24"/>
                <w:szCs w:val="24"/>
                <w:lang w:val="tr-TR"/>
              </w:rPr>
              <w:t xml:space="preserve"> Konsolide Bilançoları</w:t>
            </w:r>
            <w:bookmarkEnd w:id="47"/>
            <w:bookmarkEnd w:id="48"/>
            <w:bookmarkEnd w:id="49"/>
          </w:p>
          <w:p w:rsidR="00F41831" w:rsidRPr="00A1333A" w:rsidRDefault="00F41831" w:rsidP="008D17FE">
            <w:pPr>
              <w:jc w:val="both"/>
              <w:rPr>
                <w:rFonts w:ascii="Century" w:hAnsi="Century"/>
                <w:lang w:val="tr-TR"/>
              </w:rPr>
            </w:pPr>
          </w:p>
          <w:p w:rsidR="00F41831" w:rsidRPr="00A1333A" w:rsidRDefault="00F41831" w:rsidP="008D17FE">
            <w:pPr>
              <w:jc w:val="both"/>
              <w:rPr>
                <w:rFonts w:ascii="Century" w:hAnsi="Century"/>
                <w:lang w:val="tr-TR"/>
              </w:rPr>
            </w:pPr>
            <w:r w:rsidRPr="00A1333A">
              <w:rPr>
                <w:rFonts w:ascii="Century" w:hAnsi="Century"/>
                <w:lang w:val="tr-TR"/>
              </w:rPr>
              <w:t>31.12.200</w:t>
            </w:r>
            <w:r w:rsidR="001A0C04" w:rsidRPr="00A1333A">
              <w:rPr>
                <w:rFonts w:ascii="Century" w:hAnsi="Century"/>
                <w:lang w:val="tr-TR"/>
              </w:rPr>
              <w:t>7</w:t>
            </w:r>
            <w:r w:rsidRPr="00A1333A">
              <w:rPr>
                <w:rFonts w:ascii="Century" w:hAnsi="Century"/>
                <w:lang w:val="tr-TR"/>
              </w:rPr>
              <w:t xml:space="preserve"> tarihi itibariyle sigorta, reasürans ve bireysel emeklilik şirketlerinin konsolide bilançoları Tablo</w:t>
            </w:r>
            <w:r w:rsidR="0027174C" w:rsidRPr="00A1333A">
              <w:rPr>
                <w:rFonts w:ascii="Century" w:hAnsi="Century"/>
                <w:lang w:val="tr-TR"/>
              </w:rPr>
              <w:t xml:space="preserve"> </w:t>
            </w:r>
            <w:r w:rsidRPr="00A1333A">
              <w:rPr>
                <w:rFonts w:ascii="Century" w:hAnsi="Century"/>
                <w:lang w:val="tr-TR"/>
              </w:rPr>
              <w:t>1’de, şirket bazında ayrıntısı ise Tablo</w:t>
            </w:r>
            <w:r w:rsidR="0027174C" w:rsidRPr="00A1333A">
              <w:rPr>
                <w:rFonts w:ascii="Century" w:hAnsi="Century"/>
                <w:lang w:val="tr-TR"/>
              </w:rPr>
              <w:t xml:space="preserve"> </w:t>
            </w:r>
            <w:r w:rsidRPr="00A1333A">
              <w:rPr>
                <w:rFonts w:ascii="Century" w:hAnsi="Century"/>
                <w:lang w:val="tr-TR"/>
              </w:rPr>
              <w:t>3’te verilmiştir. Reasürans şirketleri dahil sigorta</w:t>
            </w:r>
            <w:r w:rsidR="00C42E60" w:rsidRPr="00A1333A">
              <w:rPr>
                <w:rFonts w:ascii="Century" w:hAnsi="Century"/>
                <w:lang w:val="tr-TR"/>
              </w:rPr>
              <w:t>cılık</w:t>
            </w:r>
            <w:r w:rsidRPr="00A1333A">
              <w:rPr>
                <w:rFonts w:ascii="Century" w:hAnsi="Century"/>
                <w:lang w:val="tr-TR"/>
              </w:rPr>
              <w:t xml:space="preserve"> </w:t>
            </w:r>
            <w:r w:rsidR="0027174C" w:rsidRPr="00A1333A">
              <w:rPr>
                <w:rFonts w:ascii="Century" w:hAnsi="Century"/>
                <w:lang w:val="tr-TR"/>
              </w:rPr>
              <w:t>ve bireysel emeklilik sektörü</w:t>
            </w:r>
            <w:r w:rsidRPr="00A1333A">
              <w:rPr>
                <w:rFonts w:ascii="Century" w:hAnsi="Century"/>
                <w:lang w:val="tr-TR"/>
              </w:rPr>
              <w:t xml:space="preserve"> 200</w:t>
            </w:r>
            <w:r w:rsidR="001A0C04" w:rsidRPr="00A1333A">
              <w:rPr>
                <w:rFonts w:ascii="Century" w:hAnsi="Century"/>
                <w:lang w:val="tr-TR"/>
              </w:rPr>
              <w:t>7</w:t>
            </w:r>
            <w:r w:rsidRPr="00A1333A">
              <w:rPr>
                <w:rFonts w:ascii="Century" w:hAnsi="Century"/>
                <w:lang w:val="tr-TR"/>
              </w:rPr>
              <w:t xml:space="preserve"> yılında %</w:t>
            </w:r>
            <w:r w:rsidR="002547A1" w:rsidRPr="00A1333A">
              <w:rPr>
                <w:rFonts w:ascii="Century" w:hAnsi="Century"/>
                <w:lang w:val="tr-TR"/>
              </w:rPr>
              <w:t xml:space="preserve"> </w:t>
            </w:r>
            <w:r w:rsidRPr="00A1333A">
              <w:rPr>
                <w:rFonts w:ascii="Century" w:hAnsi="Century"/>
                <w:lang w:val="tr-TR"/>
              </w:rPr>
              <w:t>2</w:t>
            </w:r>
            <w:r w:rsidR="00CE2834">
              <w:rPr>
                <w:rFonts w:ascii="Century" w:hAnsi="Century"/>
                <w:lang w:val="tr-TR"/>
              </w:rPr>
              <w:t>5</w:t>
            </w:r>
            <w:r w:rsidRPr="00A1333A">
              <w:rPr>
                <w:rFonts w:ascii="Century" w:hAnsi="Century"/>
                <w:lang w:val="tr-TR"/>
              </w:rPr>
              <w:t xml:space="preserve"> oranında büyümüştür. 2004 yılı öncesinde sigorta</w:t>
            </w:r>
            <w:r w:rsidR="00C42E60" w:rsidRPr="00A1333A">
              <w:rPr>
                <w:rFonts w:ascii="Century" w:hAnsi="Century"/>
                <w:lang w:val="tr-TR"/>
              </w:rPr>
              <w:t>cılık</w:t>
            </w:r>
            <w:r w:rsidRPr="00A1333A">
              <w:rPr>
                <w:rFonts w:ascii="Century" w:hAnsi="Century"/>
                <w:lang w:val="tr-TR"/>
              </w:rPr>
              <w:t xml:space="preserve"> sektörü </w:t>
            </w:r>
            <w:r w:rsidR="001A0C04" w:rsidRPr="00A1333A">
              <w:rPr>
                <w:rFonts w:ascii="Century" w:hAnsi="Century"/>
                <w:lang w:val="tr-TR"/>
              </w:rPr>
              <w:t>varlık</w:t>
            </w:r>
            <w:r w:rsidR="00034F76" w:rsidRPr="00A1333A">
              <w:rPr>
                <w:rFonts w:ascii="Century" w:hAnsi="Century"/>
                <w:lang w:val="tr-TR"/>
              </w:rPr>
              <w:t xml:space="preserve"> toplamına göre </w:t>
            </w:r>
            <w:r w:rsidR="006F3DE2">
              <w:rPr>
                <w:rFonts w:ascii="Century" w:hAnsi="Century"/>
                <w:lang w:val="tr-TR"/>
              </w:rPr>
              <w:t xml:space="preserve">hayat ve hayat dışı olarak </w:t>
            </w:r>
            <w:r w:rsidR="00A1333A">
              <w:rPr>
                <w:rFonts w:ascii="Century" w:hAnsi="Century"/>
                <w:lang w:val="tr-TR"/>
              </w:rPr>
              <w:t>eşit</w:t>
            </w:r>
            <w:r w:rsidRPr="00A1333A">
              <w:rPr>
                <w:rFonts w:ascii="Century" w:hAnsi="Century"/>
                <w:lang w:val="tr-TR"/>
              </w:rPr>
              <w:t xml:space="preserve"> ağırlıklı bir yapıda iken, 2005 yılında hayat dışı sigorta şirketlerin</w:t>
            </w:r>
            <w:r w:rsidR="00034F76" w:rsidRPr="00A1333A">
              <w:rPr>
                <w:rFonts w:ascii="Century" w:hAnsi="Century"/>
                <w:lang w:val="tr-TR"/>
              </w:rPr>
              <w:t xml:space="preserve">in aktiflerinde </w:t>
            </w:r>
            <w:r w:rsidR="00A1333A" w:rsidRPr="00A1333A">
              <w:rPr>
                <w:rFonts w:ascii="Century" w:hAnsi="Century"/>
                <w:lang w:val="tr-TR"/>
              </w:rPr>
              <w:t xml:space="preserve">enflasyon düzeltmesinin etkisiyle </w:t>
            </w:r>
            <w:r w:rsidRPr="00A1333A">
              <w:rPr>
                <w:rFonts w:ascii="Century" w:hAnsi="Century"/>
                <w:lang w:val="tr-TR"/>
              </w:rPr>
              <w:t>%</w:t>
            </w:r>
            <w:r w:rsidR="002547A1" w:rsidRPr="00A1333A">
              <w:rPr>
                <w:rFonts w:ascii="Century" w:hAnsi="Century"/>
                <w:lang w:val="tr-TR"/>
              </w:rPr>
              <w:t xml:space="preserve"> </w:t>
            </w:r>
            <w:r w:rsidR="006F3DE2">
              <w:rPr>
                <w:rFonts w:ascii="Century" w:hAnsi="Century"/>
                <w:lang w:val="tr-TR"/>
              </w:rPr>
              <w:t>59 oranında büyüme yaşanması sonucu</w:t>
            </w:r>
            <w:r w:rsidRPr="00A1333A">
              <w:rPr>
                <w:rFonts w:ascii="Century" w:hAnsi="Century"/>
                <w:lang w:val="tr-TR"/>
              </w:rPr>
              <w:t xml:space="preserve"> bu grubun ağırlığı</w:t>
            </w:r>
            <w:r w:rsidR="006F3DE2">
              <w:rPr>
                <w:rFonts w:ascii="Century" w:hAnsi="Century"/>
                <w:lang w:val="tr-TR"/>
              </w:rPr>
              <w:t xml:space="preserve"> artmıştır</w:t>
            </w:r>
            <w:r w:rsidRPr="00A1333A">
              <w:rPr>
                <w:rFonts w:ascii="Century" w:hAnsi="Century"/>
                <w:lang w:val="tr-TR"/>
              </w:rPr>
              <w:t xml:space="preserve">. </w:t>
            </w:r>
            <w:r w:rsidR="00A1333A" w:rsidRPr="00A1333A">
              <w:rPr>
                <w:rFonts w:ascii="Century" w:hAnsi="Century"/>
                <w:lang w:val="tr-TR"/>
              </w:rPr>
              <w:t>Ancak, hızlı büyüme trendi içinde olan bireysel emeklilik faaliyetleri dolayısıyla son yıllarda h</w:t>
            </w:r>
            <w:r w:rsidRPr="00A1333A">
              <w:rPr>
                <w:rFonts w:ascii="Century" w:hAnsi="Century"/>
                <w:lang w:val="tr-TR"/>
              </w:rPr>
              <w:t xml:space="preserve">ayat </w:t>
            </w:r>
            <w:r w:rsidR="00A1333A" w:rsidRPr="00A1333A">
              <w:rPr>
                <w:rFonts w:ascii="Century" w:hAnsi="Century"/>
                <w:lang w:val="tr-TR"/>
              </w:rPr>
              <w:t>emeklilik şirketlerinin varlık toplamındaki büyüme</w:t>
            </w:r>
            <w:r w:rsidR="0074488A">
              <w:rPr>
                <w:rFonts w:ascii="Century" w:hAnsi="Century"/>
                <w:lang w:val="tr-TR"/>
              </w:rPr>
              <w:t>,</w:t>
            </w:r>
            <w:r w:rsidR="00A1333A" w:rsidRPr="00A1333A">
              <w:rPr>
                <w:rFonts w:ascii="Century" w:hAnsi="Century"/>
                <w:lang w:val="tr-TR"/>
              </w:rPr>
              <w:t xml:space="preserve"> hayat </w:t>
            </w:r>
            <w:r w:rsidRPr="00A1333A">
              <w:rPr>
                <w:rFonts w:ascii="Century" w:hAnsi="Century"/>
                <w:lang w:val="tr-TR"/>
              </w:rPr>
              <w:t>dışı sigorta şirketlerin</w:t>
            </w:r>
            <w:r w:rsidR="00A1333A" w:rsidRPr="00A1333A">
              <w:rPr>
                <w:rFonts w:ascii="Century" w:hAnsi="Century"/>
                <w:lang w:val="tr-TR"/>
              </w:rPr>
              <w:t>in varlık toplamına oranla daha fazla olmaktadır.</w:t>
            </w:r>
            <w:r w:rsidRPr="00A1333A">
              <w:rPr>
                <w:rFonts w:ascii="Century" w:hAnsi="Century"/>
                <w:lang w:val="tr-TR"/>
              </w:rPr>
              <w:t xml:space="preserve"> </w:t>
            </w:r>
          </w:p>
          <w:p w:rsidR="007276BA" w:rsidRPr="00367FA3" w:rsidRDefault="007276BA"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3A64D5" w:rsidRPr="00CF3FF2" w:rsidRDefault="004752E2" w:rsidP="000B6158">
            <w:pPr>
              <w:ind w:left="91"/>
              <w:rPr>
                <w:rFonts w:ascii="Century" w:hAnsi="Century"/>
                <w:b/>
                <w:color w:val="404040"/>
              </w:rPr>
            </w:pPr>
            <w:r w:rsidRPr="00CF3FF2">
              <w:rPr>
                <w:rFonts w:ascii="Century" w:hAnsi="Century"/>
                <w:b/>
                <w:color w:val="404040"/>
              </w:rPr>
              <w:t>1</w:t>
            </w:r>
            <w:r w:rsidR="003A64D5" w:rsidRPr="00CF3FF2">
              <w:rPr>
                <w:rFonts w:ascii="Century" w:hAnsi="Century"/>
                <w:b/>
                <w:color w:val="404040"/>
              </w:rPr>
              <w:t xml:space="preserve">.4. Financial Statements of Insurance, Reins. and Private Pension Companies </w:t>
            </w:r>
          </w:p>
          <w:p w:rsidR="003A64D5" w:rsidRPr="00CF3FF2" w:rsidRDefault="003A64D5" w:rsidP="003A64D5">
            <w:pPr>
              <w:jc w:val="both"/>
              <w:rPr>
                <w:rFonts w:ascii="Century" w:hAnsi="Century"/>
                <w:b/>
                <w:color w:val="404040"/>
              </w:rPr>
            </w:pPr>
          </w:p>
          <w:p w:rsidR="003A64D5" w:rsidRPr="00CF3FF2" w:rsidRDefault="004752E2" w:rsidP="0027174C">
            <w:pPr>
              <w:jc w:val="both"/>
              <w:rPr>
                <w:rFonts w:ascii="Century" w:hAnsi="Century"/>
                <w:b/>
                <w:color w:val="404040"/>
              </w:rPr>
            </w:pPr>
            <w:r w:rsidRPr="00CF3FF2">
              <w:rPr>
                <w:rFonts w:ascii="Century" w:hAnsi="Century"/>
                <w:b/>
                <w:color w:val="404040"/>
              </w:rPr>
              <w:t>1</w:t>
            </w:r>
            <w:r w:rsidR="003A64D5" w:rsidRPr="00CF3FF2">
              <w:rPr>
                <w:rFonts w:ascii="Century" w:hAnsi="Century"/>
                <w:b/>
                <w:color w:val="404040"/>
              </w:rPr>
              <w:t>.4.1. Consolidated Balance Sheets of Insurance and Private Pension Sector</w:t>
            </w:r>
            <w:r w:rsidR="00752D5D" w:rsidRPr="00CF3FF2">
              <w:rPr>
                <w:rFonts w:ascii="Century" w:hAnsi="Century"/>
                <w:b/>
                <w:color w:val="404040"/>
              </w:rPr>
              <w:t>s</w:t>
            </w:r>
            <w:r w:rsidR="003A64D5" w:rsidRPr="00CF3FF2">
              <w:rPr>
                <w:rFonts w:ascii="Century" w:hAnsi="Century"/>
                <w:b/>
                <w:color w:val="404040"/>
              </w:rPr>
              <w:t xml:space="preserve"> </w:t>
            </w:r>
          </w:p>
          <w:p w:rsidR="004649B1" w:rsidRPr="00CF3FF2" w:rsidRDefault="004649B1" w:rsidP="008D17FE">
            <w:pPr>
              <w:rPr>
                <w:rFonts w:ascii="Century" w:hAnsi="Century"/>
                <w:color w:val="404040"/>
                <w:lang w:val="tr-TR"/>
              </w:rPr>
            </w:pPr>
          </w:p>
          <w:p w:rsidR="00A00742" w:rsidRPr="00CF3FF2" w:rsidRDefault="00A00742" w:rsidP="00A00742">
            <w:pPr>
              <w:jc w:val="both"/>
              <w:rPr>
                <w:rFonts w:ascii="Century" w:hAnsi="Century"/>
                <w:color w:val="404040"/>
              </w:rPr>
            </w:pPr>
            <w:r w:rsidRPr="00CF3FF2">
              <w:rPr>
                <w:rFonts w:ascii="Century" w:hAnsi="Century"/>
                <w:color w:val="404040"/>
              </w:rPr>
              <w:t xml:space="preserve">Consolidated balance sheet of insurance, reinsurance and private pension sector as at </w:t>
            </w:r>
            <w:smartTag w:uri="urn:schemas-microsoft-com:office:smarttags" w:element="date">
              <w:smartTagPr>
                <w:attr w:name="Year" w:val="2007"/>
                <w:attr w:name="Day" w:val="31"/>
                <w:attr w:name="Month" w:val="12"/>
              </w:smartTagPr>
              <w:r w:rsidRPr="00CF3FF2">
                <w:rPr>
                  <w:rFonts w:ascii="Century" w:hAnsi="Century"/>
                  <w:color w:val="404040"/>
                </w:rPr>
                <w:t>31</w:t>
              </w:r>
              <w:r w:rsidR="00EE4785" w:rsidRPr="00CF3FF2">
                <w:rPr>
                  <w:rFonts w:ascii="Century" w:hAnsi="Century"/>
                  <w:color w:val="404040"/>
                </w:rPr>
                <w:t xml:space="preserve"> </w:t>
              </w:r>
              <w:r w:rsidRPr="00CF3FF2">
                <w:rPr>
                  <w:rFonts w:ascii="Century" w:hAnsi="Century"/>
                  <w:color w:val="404040"/>
                </w:rPr>
                <w:t>December, 200</w:t>
              </w:r>
              <w:r w:rsidR="00A1333A" w:rsidRPr="00CF3FF2">
                <w:rPr>
                  <w:rFonts w:ascii="Century" w:hAnsi="Century"/>
                  <w:color w:val="404040"/>
                </w:rPr>
                <w:t>7</w:t>
              </w:r>
            </w:smartTag>
            <w:r w:rsidRPr="00CF3FF2">
              <w:rPr>
                <w:rFonts w:ascii="Century" w:hAnsi="Century"/>
                <w:color w:val="404040"/>
              </w:rPr>
              <w:t xml:space="preserve"> takes place in Table 1 and detailed statement in terms of companies are shown in Table 3. Insurance and private pension sector including reinsurance companies grew by 2</w:t>
            </w:r>
            <w:r w:rsidR="00CE2834">
              <w:rPr>
                <w:rFonts w:ascii="Century" w:hAnsi="Century"/>
                <w:color w:val="404040"/>
              </w:rPr>
              <w:t>5</w:t>
            </w:r>
            <w:r w:rsidRPr="00CF3FF2">
              <w:rPr>
                <w:rFonts w:ascii="Century" w:hAnsi="Century"/>
                <w:color w:val="404040"/>
              </w:rPr>
              <w:t>% in 200</w:t>
            </w:r>
            <w:r w:rsidR="00A1333A" w:rsidRPr="00CF3FF2">
              <w:rPr>
                <w:rFonts w:ascii="Century" w:hAnsi="Century"/>
                <w:color w:val="404040"/>
              </w:rPr>
              <w:t>7</w:t>
            </w:r>
            <w:r w:rsidRPr="00CF3FF2">
              <w:rPr>
                <w:rFonts w:ascii="Century" w:hAnsi="Century"/>
                <w:color w:val="404040"/>
              </w:rPr>
              <w:t>. However life/pension companies and non-life companies had equal shares before 2004, this equilibrium has changed with the rapid growth of non</w:t>
            </w:r>
            <w:r w:rsidR="00447AFE" w:rsidRPr="00CF3FF2">
              <w:rPr>
                <w:rFonts w:ascii="Century" w:hAnsi="Century"/>
                <w:color w:val="404040"/>
              </w:rPr>
              <w:t>-life insurance companies by 59</w:t>
            </w:r>
            <w:r w:rsidRPr="00CF3FF2">
              <w:rPr>
                <w:rFonts w:ascii="Century" w:hAnsi="Century"/>
                <w:color w:val="404040"/>
              </w:rPr>
              <w:t xml:space="preserve">% in year 2005. Main </w:t>
            </w:r>
            <w:r w:rsidR="000611AD" w:rsidRPr="00CF3FF2">
              <w:rPr>
                <w:rFonts w:ascii="Century" w:hAnsi="Century"/>
                <w:color w:val="404040"/>
              </w:rPr>
              <w:t>ground</w:t>
            </w:r>
            <w:r w:rsidRPr="00CF3FF2">
              <w:rPr>
                <w:rFonts w:ascii="Century" w:hAnsi="Century"/>
                <w:color w:val="404040"/>
              </w:rPr>
              <w:t xml:space="preserve"> for such </w:t>
            </w:r>
            <w:r w:rsidR="000611AD" w:rsidRPr="00CF3FF2">
              <w:rPr>
                <w:rFonts w:ascii="Century" w:hAnsi="Century"/>
                <w:color w:val="404040"/>
              </w:rPr>
              <w:t xml:space="preserve">a </w:t>
            </w:r>
            <w:r w:rsidRPr="00CF3FF2">
              <w:rPr>
                <w:rFonts w:ascii="Century" w:hAnsi="Century"/>
                <w:color w:val="404040"/>
              </w:rPr>
              <w:t xml:space="preserve">growth is </w:t>
            </w:r>
            <w:r w:rsidR="0018531D" w:rsidRPr="00CF3FF2">
              <w:rPr>
                <w:rFonts w:ascii="Century" w:hAnsi="Century"/>
                <w:color w:val="404040"/>
              </w:rPr>
              <w:t xml:space="preserve">implementation of </w:t>
            </w:r>
            <w:r w:rsidRPr="00CF3FF2">
              <w:rPr>
                <w:rFonts w:ascii="Century" w:hAnsi="Century"/>
                <w:color w:val="404040"/>
              </w:rPr>
              <w:t xml:space="preserve">inflation adjustment which caused a larger growth for non-life companies </w:t>
            </w:r>
            <w:r w:rsidR="0018531D" w:rsidRPr="00CF3FF2">
              <w:rPr>
                <w:rFonts w:ascii="Century" w:hAnsi="Century"/>
                <w:color w:val="404040"/>
              </w:rPr>
              <w:t>since they</w:t>
            </w:r>
            <w:r w:rsidRPr="00CF3FF2">
              <w:rPr>
                <w:rFonts w:ascii="Century" w:hAnsi="Century"/>
                <w:color w:val="404040"/>
              </w:rPr>
              <w:t xml:space="preserve"> are older </w:t>
            </w:r>
            <w:r w:rsidR="0018531D" w:rsidRPr="00CF3FF2">
              <w:rPr>
                <w:rFonts w:ascii="Century" w:hAnsi="Century"/>
                <w:color w:val="404040"/>
              </w:rPr>
              <w:t>and have</w:t>
            </w:r>
            <w:r w:rsidRPr="00CF3FF2">
              <w:rPr>
                <w:rFonts w:ascii="Century" w:hAnsi="Century"/>
                <w:color w:val="404040"/>
              </w:rPr>
              <w:t xml:space="preserve"> more </w:t>
            </w:r>
            <w:r w:rsidR="00927827" w:rsidRPr="00CF3FF2">
              <w:rPr>
                <w:rFonts w:ascii="Century" w:hAnsi="Century"/>
                <w:color w:val="404040"/>
              </w:rPr>
              <w:t xml:space="preserve">            </w:t>
            </w:r>
            <w:r w:rsidRPr="00CF3FF2">
              <w:rPr>
                <w:rFonts w:ascii="Century" w:hAnsi="Century"/>
                <w:color w:val="404040"/>
              </w:rPr>
              <w:t>non</w:t>
            </w:r>
            <w:r w:rsidR="004752E2" w:rsidRPr="00CF3FF2">
              <w:rPr>
                <w:rFonts w:ascii="Century" w:hAnsi="Century"/>
                <w:color w:val="404040"/>
              </w:rPr>
              <w:t>-</w:t>
            </w:r>
            <w:r w:rsidRPr="00CF3FF2">
              <w:rPr>
                <w:rFonts w:ascii="Century" w:hAnsi="Century"/>
                <w:color w:val="404040"/>
              </w:rPr>
              <w:t>monetary assets tha</w:t>
            </w:r>
            <w:r w:rsidR="0018531D" w:rsidRPr="00CF3FF2">
              <w:rPr>
                <w:rFonts w:ascii="Century" w:hAnsi="Century"/>
                <w:color w:val="404040"/>
              </w:rPr>
              <w:t>n</w:t>
            </w:r>
            <w:r w:rsidRPr="00CF3FF2">
              <w:rPr>
                <w:rFonts w:ascii="Century" w:hAnsi="Century"/>
                <w:color w:val="404040"/>
              </w:rPr>
              <w:t xml:space="preserve"> life companies. </w:t>
            </w:r>
          </w:p>
          <w:p w:rsidR="000355EE" w:rsidRPr="00367FA3" w:rsidRDefault="000355EE" w:rsidP="008D17FE">
            <w:pPr>
              <w:rPr>
                <w:rFonts w:ascii="Century" w:hAnsi="Century"/>
                <w:highlight w:val="yellow"/>
                <w:lang w:val="tr-TR"/>
              </w:rPr>
            </w:pPr>
          </w:p>
        </w:tc>
      </w:tr>
      <w:tr w:rsidR="00F41831" w:rsidRPr="00367FA3">
        <w:tc>
          <w:tcPr>
            <w:tcW w:w="9855" w:type="dxa"/>
            <w:gridSpan w:val="5"/>
          </w:tcPr>
          <w:p w:rsidR="00F41831" w:rsidRPr="001A0C04" w:rsidRDefault="00F41831" w:rsidP="00D96FCE">
            <w:pPr>
              <w:pStyle w:val="ResimYazs"/>
              <w:jc w:val="center"/>
              <w:rPr>
                <w:rFonts w:ascii="Century" w:hAnsi="Century"/>
                <w:lang w:val="tr-TR"/>
              </w:rPr>
            </w:pPr>
            <w:bookmarkStart w:id="50" w:name="_Toc170665536"/>
            <w:r w:rsidRPr="001A0C04">
              <w:rPr>
                <w:rFonts w:ascii="Century" w:hAnsi="Century"/>
                <w:lang w:val="tr-TR"/>
              </w:rPr>
              <w:t xml:space="preserve">Tablo </w:t>
            </w:r>
            <w:r w:rsidRPr="001A0C04">
              <w:rPr>
                <w:rFonts w:ascii="Century" w:hAnsi="Century"/>
                <w:lang w:val="tr-TR"/>
              </w:rPr>
              <w:fldChar w:fldCharType="begin"/>
            </w:r>
            <w:r w:rsidRPr="001A0C04">
              <w:rPr>
                <w:rFonts w:ascii="Century" w:hAnsi="Century"/>
                <w:lang w:val="tr-TR"/>
              </w:rPr>
              <w:instrText xml:space="preserve"> STYLEREF 2 \s </w:instrText>
            </w:r>
            <w:r w:rsidRPr="001A0C04">
              <w:rPr>
                <w:rFonts w:ascii="Century" w:hAnsi="Century"/>
                <w:lang w:val="tr-TR"/>
              </w:rPr>
              <w:fldChar w:fldCharType="separate"/>
            </w:r>
            <w:r w:rsidR="00DA718E">
              <w:rPr>
                <w:rFonts w:ascii="Century" w:hAnsi="Century"/>
                <w:noProof/>
                <w:lang w:val="tr-TR"/>
              </w:rPr>
              <w:t>1.4</w:t>
            </w:r>
            <w:r w:rsidRPr="001A0C04">
              <w:rPr>
                <w:rFonts w:ascii="Century" w:hAnsi="Century"/>
                <w:lang w:val="tr-TR"/>
              </w:rPr>
              <w:fldChar w:fldCharType="end"/>
            </w:r>
            <w:r w:rsidRPr="001A0C04">
              <w:rPr>
                <w:rFonts w:ascii="Century" w:hAnsi="Century"/>
                <w:lang w:val="tr-TR"/>
              </w:rPr>
              <w:noBreakHyphen/>
            </w:r>
            <w:r w:rsidRPr="001A0C04">
              <w:rPr>
                <w:rFonts w:ascii="Century" w:hAnsi="Century"/>
                <w:lang w:val="tr-TR"/>
              </w:rPr>
              <w:fldChar w:fldCharType="begin"/>
            </w:r>
            <w:r w:rsidRPr="001A0C04">
              <w:rPr>
                <w:rFonts w:ascii="Century" w:hAnsi="Century"/>
                <w:lang w:val="tr-TR"/>
              </w:rPr>
              <w:instrText xml:space="preserve"> SEQ Tablo \* ARABIC \s 2 </w:instrText>
            </w:r>
            <w:r w:rsidRPr="001A0C04">
              <w:rPr>
                <w:rFonts w:ascii="Century" w:hAnsi="Century"/>
                <w:lang w:val="tr-TR"/>
              </w:rPr>
              <w:fldChar w:fldCharType="separate"/>
            </w:r>
            <w:r w:rsidR="00DA718E">
              <w:rPr>
                <w:rFonts w:ascii="Century" w:hAnsi="Century"/>
                <w:noProof/>
                <w:lang w:val="tr-TR"/>
              </w:rPr>
              <w:t>1</w:t>
            </w:r>
            <w:r w:rsidRPr="001A0C04">
              <w:rPr>
                <w:rFonts w:ascii="Century" w:hAnsi="Century"/>
                <w:lang w:val="tr-TR"/>
              </w:rPr>
              <w:fldChar w:fldCharType="end"/>
            </w:r>
            <w:r w:rsidRPr="001A0C04">
              <w:rPr>
                <w:rFonts w:ascii="Century" w:hAnsi="Century"/>
                <w:lang w:val="tr-TR"/>
              </w:rPr>
              <w:t xml:space="preserve">; </w:t>
            </w:r>
            <w:r w:rsidRPr="001A0C04">
              <w:rPr>
                <w:rFonts w:ascii="Century" w:hAnsi="Century"/>
                <w:bCs w:val="0"/>
                <w:lang w:val="tr-TR"/>
              </w:rPr>
              <w:t xml:space="preserve">Sektör </w:t>
            </w:r>
            <w:r w:rsidR="00276E04" w:rsidRPr="001A0C04">
              <w:rPr>
                <w:rFonts w:ascii="Century" w:hAnsi="Century"/>
                <w:bCs w:val="0"/>
                <w:lang w:val="tr-TR"/>
              </w:rPr>
              <w:t>Varlık Toplamı</w:t>
            </w:r>
            <w:r w:rsidRPr="001A0C04">
              <w:rPr>
                <w:rFonts w:ascii="Century" w:hAnsi="Century"/>
                <w:lang w:val="tr-TR"/>
              </w:rPr>
              <w:t xml:space="preserve"> - </w:t>
            </w:r>
            <w:r w:rsidRPr="001A0C04">
              <w:rPr>
                <w:rFonts w:ascii="Century" w:hAnsi="Century"/>
                <w:b w:val="0"/>
                <w:i/>
                <w:iCs/>
                <w:lang w:val="tr-TR"/>
              </w:rPr>
              <w:t>Total Assets of Insurance and Pension Companies</w:t>
            </w:r>
            <w:bookmarkEnd w:id="50"/>
          </w:p>
          <w:p w:rsidR="007A6865" w:rsidRPr="00673C9E" w:rsidRDefault="00673C9E" w:rsidP="008D17FE">
            <w:pPr>
              <w:rPr>
                <w:rFonts w:ascii="Century" w:hAnsi="Century"/>
                <w:sz w:val="20"/>
                <w:szCs w:val="20"/>
                <w:highlight w:val="yellow"/>
                <w:lang w:val="tr-TR"/>
              </w:rPr>
            </w:pPr>
            <w:r w:rsidRPr="00673C9E">
              <w:rPr>
                <w:rFonts w:ascii="Century" w:hAnsi="Century"/>
                <w:sz w:val="20"/>
                <w:szCs w:val="20"/>
                <w:lang w:val="tr-TR"/>
              </w:rPr>
              <w:pict>
                <v:shape id="_x0000_i1049" type="#_x0000_t75" style="width:481.5pt;height:88.5pt">
                  <v:imagedata r:id="rId39" o:title=""/>
                </v:shape>
              </w:pict>
            </w:r>
          </w:p>
        </w:tc>
      </w:tr>
      <w:tr w:rsidR="004649B1" w:rsidRPr="00367FA3">
        <w:tc>
          <w:tcPr>
            <w:tcW w:w="4815" w:type="dxa"/>
            <w:gridSpan w:val="2"/>
          </w:tcPr>
          <w:p w:rsidR="0002634F" w:rsidRPr="00367FA3" w:rsidRDefault="0002634F" w:rsidP="008D17FE">
            <w:pPr>
              <w:jc w:val="both"/>
              <w:rPr>
                <w:rFonts w:ascii="Century" w:hAnsi="Century"/>
                <w:highlight w:val="yellow"/>
                <w:lang w:val="tr-TR"/>
              </w:rPr>
            </w:pPr>
          </w:p>
          <w:p w:rsidR="00FF4547" w:rsidRPr="0059333C" w:rsidRDefault="0059333C" w:rsidP="008D17FE">
            <w:pPr>
              <w:jc w:val="both"/>
              <w:rPr>
                <w:rFonts w:ascii="Century" w:hAnsi="Century"/>
                <w:lang w:val="tr-TR"/>
              </w:rPr>
            </w:pPr>
            <w:r>
              <w:rPr>
                <w:rFonts w:ascii="Century" w:hAnsi="Century"/>
                <w:lang w:val="tr-TR"/>
              </w:rPr>
              <w:t>Son beş yıllık süreçte, s</w:t>
            </w:r>
            <w:r w:rsidR="0008341C" w:rsidRPr="0059333C">
              <w:rPr>
                <w:rFonts w:ascii="Century" w:hAnsi="Century"/>
                <w:lang w:val="tr-TR"/>
              </w:rPr>
              <w:t xml:space="preserve">igorta ve bireysel emeklilik şirketlerinin bilançoları aktif bileşenleri açısından incelendiğinde, 2005 yılı hesaplarına yansıyan enflasyon düzeltmesinin burada da etkili olduğu görülmektedir. </w:t>
            </w:r>
          </w:p>
          <w:p w:rsidR="00FF4547" w:rsidRPr="00367FA3" w:rsidRDefault="00FF4547" w:rsidP="008D17FE">
            <w:pPr>
              <w:jc w:val="both"/>
              <w:rPr>
                <w:rFonts w:ascii="Century" w:hAnsi="Century"/>
                <w:highlight w:val="yellow"/>
                <w:lang w:val="tr-TR"/>
              </w:rPr>
            </w:pPr>
          </w:p>
          <w:p w:rsidR="0008341C" w:rsidRPr="00BE60FF" w:rsidRDefault="0008341C" w:rsidP="008D17FE">
            <w:pPr>
              <w:jc w:val="both"/>
              <w:rPr>
                <w:rFonts w:ascii="Century" w:hAnsi="Century"/>
                <w:lang w:val="tr-TR"/>
              </w:rPr>
            </w:pPr>
            <w:r w:rsidRPr="0059333C">
              <w:rPr>
                <w:rFonts w:ascii="Century" w:hAnsi="Century"/>
                <w:lang w:val="tr-TR"/>
              </w:rPr>
              <w:t xml:space="preserve">En fazla düzeltme yapılan hesaplardan  </w:t>
            </w:r>
            <w:r w:rsidR="005F588F">
              <w:rPr>
                <w:rFonts w:ascii="Century" w:hAnsi="Century"/>
                <w:lang w:val="tr-TR"/>
              </w:rPr>
              <w:t xml:space="preserve">biri olan </w:t>
            </w:r>
            <w:r w:rsidRPr="0059333C">
              <w:rPr>
                <w:rFonts w:ascii="Century" w:hAnsi="Century"/>
                <w:lang w:val="tr-TR"/>
              </w:rPr>
              <w:t xml:space="preserve">duran varlıkların </w:t>
            </w:r>
            <w:r w:rsidR="009E5A95" w:rsidRPr="0059333C">
              <w:rPr>
                <w:rFonts w:ascii="Century" w:hAnsi="Century"/>
                <w:lang w:val="tr-TR"/>
              </w:rPr>
              <w:t>toplam varlık</w:t>
            </w:r>
            <w:r w:rsidRPr="0059333C">
              <w:rPr>
                <w:rFonts w:ascii="Century" w:hAnsi="Century"/>
                <w:lang w:val="tr-TR"/>
              </w:rPr>
              <w:t xml:space="preserve"> içindeki payı</w:t>
            </w:r>
            <w:r w:rsidR="00C42E60" w:rsidRPr="0059333C">
              <w:rPr>
                <w:rFonts w:ascii="Century" w:hAnsi="Century"/>
                <w:lang w:val="tr-TR"/>
              </w:rPr>
              <w:t xml:space="preserve"> </w:t>
            </w:r>
            <w:r w:rsidR="0027174C" w:rsidRPr="0059333C">
              <w:rPr>
                <w:rFonts w:ascii="Century" w:hAnsi="Century"/>
                <w:lang w:val="tr-TR"/>
              </w:rPr>
              <w:t>200</w:t>
            </w:r>
            <w:r w:rsidR="0059333C" w:rsidRPr="0059333C">
              <w:rPr>
                <w:rFonts w:ascii="Century" w:hAnsi="Century"/>
                <w:lang w:val="tr-TR"/>
              </w:rPr>
              <w:t>5</w:t>
            </w:r>
            <w:r w:rsidR="0027174C" w:rsidRPr="0059333C">
              <w:rPr>
                <w:rFonts w:ascii="Century" w:hAnsi="Century"/>
                <w:lang w:val="tr-TR"/>
              </w:rPr>
              <w:t xml:space="preserve"> yılında </w:t>
            </w:r>
            <w:r w:rsidR="00C42E60" w:rsidRPr="0059333C">
              <w:rPr>
                <w:rFonts w:ascii="Century" w:hAnsi="Century"/>
                <w:lang w:val="tr-TR"/>
              </w:rPr>
              <w:t>artmış</w:t>
            </w:r>
            <w:r w:rsidRPr="0059333C">
              <w:rPr>
                <w:rFonts w:ascii="Century" w:hAnsi="Century"/>
                <w:lang w:val="tr-TR"/>
              </w:rPr>
              <w:t xml:space="preserve">, buna karşın likit varlıkların payında dikkat </w:t>
            </w:r>
            <w:r w:rsidRPr="0059333C">
              <w:rPr>
                <w:rFonts w:ascii="Century" w:hAnsi="Century"/>
                <w:lang w:val="tr-TR"/>
              </w:rPr>
              <w:lastRenderedPageBreak/>
              <w:t xml:space="preserve">çekici bir değişiklik olmamıştır. </w:t>
            </w:r>
            <w:r w:rsidRPr="00BE60FF">
              <w:rPr>
                <w:rFonts w:ascii="Century" w:hAnsi="Century"/>
                <w:lang w:val="tr-TR"/>
              </w:rPr>
              <w:t>Ancak</w:t>
            </w:r>
            <w:r w:rsidR="0027174C" w:rsidRPr="00BE60FF">
              <w:rPr>
                <w:rFonts w:ascii="Century" w:hAnsi="Century"/>
                <w:lang w:val="tr-TR"/>
              </w:rPr>
              <w:t>,</w:t>
            </w:r>
            <w:r w:rsidRPr="00BE60FF">
              <w:rPr>
                <w:rFonts w:ascii="Century" w:hAnsi="Century"/>
                <w:lang w:val="tr-TR"/>
              </w:rPr>
              <w:t xml:space="preserve"> </w:t>
            </w:r>
            <w:r w:rsidR="0059333C" w:rsidRPr="00BE60FF">
              <w:rPr>
                <w:rFonts w:ascii="Century" w:hAnsi="Century"/>
                <w:lang w:val="tr-TR"/>
              </w:rPr>
              <w:t xml:space="preserve">2006 yılından itibaren </w:t>
            </w:r>
            <w:r w:rsidRPr="00BE60FF">
              <w:rPr>
                <w:rFonts w:ascii="Century" w:hAnsi="Century"/>
                <w:lang w:val="tr-TR"/>
              </w:rPr>
              <w:t>hayat sigortasından bireysel emekliliğe geçişler ve bireysel emeklilik faaliyetlerindeki artış dolayısıyla bloke varlıkların oransal değeri azalırken, alacakların oranı artış göstermiştir.</w:t>
            </w:r>
          </w:p>
          <w:p w:rsidR="0008341C" w:rsidRPr="00BE60FF" w:rsidRDefault="0008341C" w:rsidP="008D17FE">
            <w:pPr>
              <w:jc w:val="both"/>
              <w:rPr>
                <w:rFonts w:ascii="Century" w:hAnsi="Century"/>
                <w:lang w:val="tr-TR"/>
              </w:rPr>
            </w:pPr>
          </w:p>
          <w:p w:rsidR="0008341C" w:rsidRPr="00BE60FF" w:rsidRDefault="009E5A95" w:rsidP="008D17FE">
            <w:pPr>
              <w:jc w:val="both"/>
              <w:rPr>
                <w:rFonts w:ascii="Century" w:hAnsi="Century"/>
                <w:lang w:val="tr-TR"/>
              </w:rPr>
            </w:pPr>
            <w:r w:rsidRPr="00BE60FF">
              <w:rPr>
                <w:rFonts w:ascii="Century" w:hAnsi="Century"/>
                <w:lang w:val="tr-TR"/>
              </w:rPr>
              <w:t>Yükümlülük b</w:t>
            </w:r>
            <w:r w:rsidR="0008341C" w:rsidRPr="00BE60FF">
              <w:rPr>
                <w:rFonts w:ascii="Century" w:hAnsi="Century"/>
                <w:lang w:val="tr-TR"/>
              </w:rPr>
              <w:t>ileşenler</w:t>
            </w:r>
            <w:r w:rsidRPr="00BE60FF">
              <w:rPr>
                <w:rFonts w:ascii="Century" w:hAnsi="Century"/>
                <w:lang w:val="tr-TR"/>
              </w:rPr>
              <w:t>i</w:t>
            </w:r>
            <w:r w:rsidR="0008341C" w:rsidRPr="00BE60FF">
              <w:rPr>
                <w:rFonts w:ascii="Century" w:hAnsi="Century"/>
                <w:lang w:val="tr-TR"/>
              </w:rPr>
              <w:t xml:space="preserve"> incelendiğinde ise, bireysel emeklilik faaliyetlerindeki artışın etkisinin borçların oransal payındaki artışta da etkili olduğu ve bloke varlıklardaki azalmaya paralel olarak teknik karşılıklarda da azalış olduğu görülmektedir. </w:t>
            </w:r>
          </w:p>
          <w:p w:rsidR="006B3335" w:rsidRPr="00367FA3" w:rsidRDefault="006B3335" w:rsidP="008D17FE">
            <w:pPr>
              <w:rPr>
                <w:rFonts w:ascii="Century" w:hAnsi="Century"/>
                <w:highlight w:val="yellow"/>
                <w:lang w:val="tr-TR"/>
              </w:rPr>
            </w:pPr>
          </w:p>
        </w:tc>
        <w:tc>
          <w:tcPr>
            <w:tcW w:w="236" w:type="dxa"/>
            <w:gridSpan w:val="2"/>
          </w:tcPr>
          <w:p w:rsidR="004649B1" w:rsidRPr="00367FA3" w:rsidRDefault="004649B1" w:rsidP="008D17FE">
            <w:pPr>
              <w:rPr>
                <w:rFonts w:ascii="Century" w:hAnsi="Century"/>
                <w:highlight w:val="yellow"/>
                <w:lang w:val="tr-TR"/>
              </w:rPr>
            </w:pPr>
          </w:p>
        </w:tc>
        <w:tc>
          <w:tcPr>
            <w:tcW w:w="4804" w:type="dxa"/>
          </w:tcPr>
          <w:p w:rsidR="004649B1" w:rsidRPr="00367FA3" w:rsidRDefault="004649B1" w:rsidP="008D17FE">
            <w:pPr>
              <w:rPr>
                <w:rFonts w:ascii="Century" w:hAnsi="Century"/>
                <w:highlight w:val="yellow"/>
                <w:lang w:val="tr-TR"/>
              </w:rPr>
            </w:pPr>
          </w:p>
          <w:p w:rsidR="00FF4547" w:rsidRPr="00CF3FF2" w:rsidRDefault="00A92BA8" w:rsidP="00FF4547">
            <w:pPr>
              <w:jc w:val="both"/>
              <w:rPr>
                <w:rFonts w:ascii="Century" w:hAnsi="Century"/>
                <w:color w:val="404040"/>
              </w:rPr>
            </w:pPr>
            <w:r w:rsidRPr="00CF3FF2">
              <w:rPr>
                <w:rFonts w:ascii="Century" w:hAnsi="Century"/>
                <w:color w:val="404040"/>
              </w:rPr>
              <w:t xml:space="preserve">According to table 1.4-1 which presents components of assets of insurance and pension companies, </w:t>
            </w:r>
            <w:r w:rsidR="00EE4785" w:rsidRPr="00CF3FF2">
              <w:rPr>
                <w:rFonts w:ascii="Century" w:hAnsi="Century"/>
                <w:color w:val="404040"/>
              </w:rPr>
              <w:t>t</w:t>
            </w:r>
            <w:r w:rsidR="00FF4547" w:rsidRPr="00CF3FF2">
              <w:rPr>
                <w:rFonts w:ascii="Century" w:hAnsi="Century"/>
                <w:color w:val="404040"/>
              </w:rPr>
              <w:t>he inflation adjustment reflecting to the accounts of 2005 had much effect in assets in balance sheets.</w:t>
            </w:r>
          </w:p>
          <w:p w:rsidR="00FF4547" w:rsidRPr="00CF3FF2" w:rsidRDefault="00FF4547" w:rsidP="00FF4547">
            <w:pPr>
              <w:jc w:val="both"/>
              <w:rPr>
                <w:rFonts w:ascii="Century" w:hAnsi="Century"/>
                <w:color w:val="404040"/>
              </w:rPr>
            </w:pPr>
          </w:p>
          <w:p w:rsidR="00FF4547" w:rsidRPr="00CF3FF2" w:rsidRDefault="00FF4547" w:rsidP="00FF4547">
            <w:pPr>
              <w:jc w:val="both"/>
              <w:rPr>
                <w:rFonts w:ascii="Century" w:hAnsi="Century"/>
                <w:color w:val="404040"/>
              </w:rPr>
            </w:pPr>
            <w:r w:rsidRPr="00CF3FF2">
              <w:rPr>
                <w:rFonts w:ascii="Century" w:hAnsi="Century"/>
                <w:color w:val="404040"/>
              </w:rPr>
              <w:t>As a result the share of fixed assets</w:t>
            </w:r>
            <w:r w:rsidR="00286D8E" w:rsidRPr="00CF3FF2">
              <w:rPr>
                <w:rFonts w:ascii="Century" w:hAnsi="Century"/>
                <w:color w:val="404040"/>
              </w:rPr>
              <w:t xml:space="preserve"> in which the most inflation adjustments are made</w:t>
            </w:r>
            <w:r w:rsidR="00C26B53" w:rsidRPr="00CF3FF2">
              <w:rPr>
                <w:rFonts w:ascii="Century" w:hAnsi="Century"/>
                <w:color w:val="404040"/>
              </w:rPr>
              <w:t>,</w:t>
            </w:r>
            <w:r w:rsidR="00BC43D3" w:rsidRPr="00CF3FF2">
              <w:rPr>
                <w:rFonts w:ascii="Century" w:hAnsi="Century"/>
                <w:color w:val="404040"/>
              </w:rPr>
              <w:t xml:space="preserve"> increased rapidly,</w:t>
            </w:r>
            <w:r w:rsidRPr="00CF3FF2">
              <w:rPr>
                <w:rFonts w:ascii="Century" w:hAnsi="Century"/>
                <w:color w:val="404040"/>
              </w:rPr>
              <w:t xml:space="preserve"> </w:t>
            </w:r>
            <w:r w:rsidR="00BC43D3" w:rsidRPr="00CF3FF2">
              <w:rPr>
                <w:rFonts w:ascii="Century" w:hAnsi="Century"/>
                <w:color w:val="404040"/>
              </w:rPr>
              <w:t>besides</w:t>
            </w:r>
            <w:r w:rsidR="00C26B53" w:rsidRPr="00CF3FF2">
              <w:rPr>
                <w:rFonts w:ascii="Century" w:hAnsi="Century"/>
                <w:color w:val="404040"/>
              </w:rPr>
              <w:t xml:space="preserve"> </w:t>
            </w:r>
            <w:r w:rsidRPr="00CF3FF2">
              <w:rPr>
                <w:rFonts w:ascii="Century" w:hAnsi="Century"/>
                <w:color w:val="404040"/>
              </w:rPr>
              <w:t>the share of liquid assets remained same</w:t>
            </w:r>
            <w:r w:rsidR="00BC43D3" w:rsidRPr="00CF3FF2">
              <w:rPr>
                <w:rFonts w:ascii="Century" w:hAnsi="Century"/>
                <w:color w:val="404040"/>
              </w:rPr>
              <w:t>.</w:t>
            </w:r>
            <w:r w:rsidRPr="00CF3FF2">
              <w:rPr>
                <w:rFonts w:ascii="Century" w:hAnsi="Century"/>
                <w:color w:val="404040"/>
              </w:rPr>
              <w:t xml:space="preserve"> </w:t>
            </w:r>
            <w:r w:rsidR="00BC43D3" w:rsidRPr="00CF3FF2">
              <w:rPr>
                <w:rFonts w:ascii="Century" w:hAnsi="Century"/>
                <w:color w:val="404040"/>
              </w:rPr>
              <w:lastRenderedPageBreak/>
              <w:t xml:space="preserve">However </w:t>
            </w:r>
            <w:r w:rsidRPr="00CF3FF2">
              <w:rPr>
                <w:rFonts w:ascii="Century" w:hAnsi="Century"/>
                <w:color w:val="404040"/>
              </w:rPr>
              <w:t>with transitions from life insurance to private pension system and increases in private pension activities, the rate of receivables increased and share of blocked assets decreased.</w:t>
            </w:r>
          </w:p>
          <w:p w:rsidR="00A00742" w:rsidRPr="00CF3FF2" w:rsidRDefault="00FF4547" w:rsidP="00FF4547">
            <w:pPr>
              <w:jc w:val="both"/>
              <w:rPr>
                <w:rFonts w:ascii="Century" w:hAnsi="Century"/>
                <w:color w:val="404040"/>
              </w:rPr>
            </w:pPr>
            <w:r w:rsidRPr="00CF3FF2">
              <w:rPr>
                <w:rFonts w:ascii="Century" w:hAnsi="Century"/>
                <w:color w:val="404040"/>
              </w:rPr>
              <w:t xml:space="preserve"> </w:t>
            </w:r>
          </w:p>
          <w:p w:rsidR="00BE60FF" w:rsidRPr="00CF3FF2" w:rsidRDefault="00BE60FF" w:rsidP="00FF4547">
            <w:pPr>
              <w:jc w:val="both"/>
              <w:rPr>
                <w:rFonts w:ascii="Century" w:hAnsi="Century"/>
                <w:color w:val="404040"/>
              </w:rPr>
            </w:pPr>
          </w:p>
          <w:p w:rsidR="00FF4547" w:rsidRPr="00CF3FF2" w:rsidRDefault="00FF4547" w:rsidP="00FF4547">
            <w:pPr>
              <w:jc w:val="both"/>
              <w:rPr>
                <w:rFonts w:ascii="Century" w:hAnsi="Century"/>
                <w:color w:val="404040"/>
              </w:rPr>
            </w:pPr>
          </w:p>
          <w:p w:rsidR="00FF4547" w:rsidRPr="00CF3FF2" w:rsidRDefault="000B397E" w:rsidP="00FF4547">
            <w:pPr>
              <w:jc w:val="both"/>
              <w:rPr>
                <w:rFonts w:ascii="Century" w:hAnsi="Century"/>
                <w:color w:val="404040"/>
              </w:rPr>
            </w:pPr>
            <w:bookmarkStart w:id="51" w:name="OLE_LINK1"/>
            <w:bookmarkStart w:id="52" w:name="OLE_LINK2"/>
            <w:r w:rsidRPr="00CF3FF2">
              <w:rPr>
                <w:rFonts w:ascii="Century" w:hAnsi="Century"/>
                <w:color w:val="404040"/>
              </w:rPr>
              <w:t>According to table 1.4-2 which presents components of liabilities</w:t>
            </w:r>
            <w:r w:rsidR="00C42E60" w:rsidRPr="00CF3FF2">
              <w:rPr>
                <w:rFonts w:ascii="Century" w:hAnsi="Century"/>
                <w:color w:val="404040"/>
              </w:rPr>
              <w:t xml:space="preserve"> and </w:t>
            </w:r>
            <w:r w:rsidRPr="00CF3FF2">
              <w:rPr>
                <w:rFonts w:ascii="Century" w:hAnsi="Century"/>
                <w:color w:val="404040"/>
              </w:rPr>
              <w:t>shareholder</w:t>
            </w:r>
            <w:r w:rsidR="00C42E60" w:rsidRPr="00CF3FF2">
              <w:rPr>
                <w:rFonts w:ascii="Century" w:hAnsi="Century"/>
                <w:color w:val="404040"/>
              </w:rPr>
              <w:t>s</w:t>
            </w:r>
            <w:r w:rsidRPr="00CF3FF2">
              <w:rPr>
                <w:rFonts w:ascii="Century" w:hAnsi="Century"/>
                <w:color w:val="404040"/>
              </w:rPr>
              <w:t xml:space="preserve">’ equity, </w:t>
            </w:r>
            <w:bookmarkEnd w:id="51"/>
            <w:bookmarkEnd w:id="52"/>
            <w:r w:rsidR="00C42E60" w:rsidRPr="00CF3FF2">
              <w:rPr>
                <w:rFonts w:ascii="Century" w:hAnsi="Century"/>
                <w:color w:val="404040"/>
              </w:rPr>
              <w:t>i</w:t>
            </w:r>
            <w:r w:rsidR="00FF4547" w:rsidRPr="00CF3FF2">
              <w:rPr>
                <w:rFonts w:ascii="Century" w:hAnsi="Century"/>
                <w:color w:val="404040"/>
              </w:rPr>
              <w:t xml:space="preserve">t is seen that the increase </w:t>
            </w:r>
            <w:r w:rsidR="0027174C" w:rsidRPr="00CF3FF2">
              <w:rPr>
                <w:rFonts w:ascii="Century" w:hAnsi="Century"/>
                <w:color w:val="404040"/>
              </w:rPr>
              <w:t>in private pension activities has a</w:t>
            </w:r>
            <w:r w:rsidR="00FF4547" w:rsidRPr="00CF3FF2">
              <w:rPr>
                <w:rFonts w:ascii="Century" w:hAnsi="Century"/>
                <w:color w:val="404040"/>
              </w:rPr>
              <w:t>ffected the shares of liabilities and there is a decrease in technical provision besides the decrease in blocked assets.</w:t>
            </w:r>
          </w:p>
          <w:p w:rsidR="00FF4547" w:rsidRPr="00367FA3" w:rsidRDefault="00FF4547" w:rsidP="00FF4547">
            <w:pPr>
              <w:jc w:val="both"/>
              <w:rPr>
                <w:rFonts w:ascii="Century" w:hAnsi="Century"/>
                <w:color w:val="999999"/>
                <w:highlight w:val="yellow"/>
                <w:lang w:val="tr-TR"/>
              </w:rPr>
            </w:pPr>
          </w:p>
        </w:tc>
      </w:tr>
      <w:tr w:rsidR="0008341C" w:rsidRPr="00367FA3">
        <w:tc>
          <w:tcPr>
            <w:tcW w:w="9855" w:type="dxa"/>
            <w:gridSpan w:val="5"/>
          </w:tcPr>
          <w:p w:rsidR="0008341C" w:rsidRPr="0059333C" w:rsidRDefault="0008341C" w:rsidP="00D96FCE">
            <w:pPr>
              <w:pStyle w:val="ResimYazs"/>
              <w:jc w:val="center"/>
              <w:rPr>
                <w:rFonts w:ascii="Century" w:hAnsi="Century"/>
                <w:b w:val="0"/>
                <w:lang w:val="tr-TR"/>
              </w:rPr>
            </w:pPr>
            <w:bookmarkStart w:id="53" w:name="_Toc170665537"/>
            <w:r w:rsidRPr="0059333C">
              <w:rPr>
                <w:rFonts w:ascii="Century" w:hAnsi="Century"/>
                <w:lang w:val="tr-TR"/>
              </w:rPr>
              <w:lastRenderedPageBreak/>
              <w:t xml:space="preserve">Tablo </w:t>
            </w:r>
            <w:r w:rsidRPr="0059333C">
              <w:rPr>
                <w:rFonts w:ascii="Century" w:hAnsi="Century"/>
                <w:lang w:val="tr-TR"/>
              </w:rPr>
              <w:fldChar w:fldCharType="begin"/>
            </w:r>
            <w:r w:rsidRPr="0059333C">
              <w:rPr>
                <w:rFonts w:ascii="Century" w:hAnsi="Century"/>
                <w:lang w:val="tr-TR"/>
              </w:rPr>
              <w:instrText xml:space="preserve"> STYLEREF 2 \s </w:instrText>
            </w:r>
            <w:r w:rsidRPr="0059333C">
              <w:rPr>
                <w:rFonts w:ascii="Century" w:hAnsi="Century"/>
                <w:lang w:val="tr-TR"/>
              </w:rPr>
              <w:fldChar w:fldCharType="separate"/>
            </w:r>
            <w:r w:rsidR="00DA718E">
              <w:rPr>
                <w:rFonts w:ascii="Century" w:hAnsi="Century"/>
                <w:noProof/>
                <w:lang w:val="tr-TR"/>
              </w:rPr>
              <w:t>1.4</w:t>
            </w:r>
            <w:r w:rsidRPr="0059333C">
              <w:rPr>
                <w:rFonts w:ascii="Century" w:hAnsi="Century"/>
                <w:lang w:val="tr-TR"/>
              </w:rPr>
              <w:fldChar w:fldCharType="end"/>
            </w:r>
            <w:r w:rsidRPr="0059333C">
              <w:rPr>
                <w:rFonts w:ascii="Century" w:hAnsi="Century"/>
                <w:lang w:val="tr-TR"/>
              </w:rPr>
              <w:noBreakHyphen/>
            </w:r>
            <w:r w:rsidRPr="0059333C">
              <w:rPr>
                <w:rFonts w:ascii="Century" w:hAnsi="Century"/>
                <w:lang w:val="tr-TR"/>
              </w:rPr>
              <w:fldChar w:fldCharType="begin"/>
            </w:r>
            <w:r w:rsidRPr="0059333C">
              <w:rPr>
                <w:rFonts w:ascii="Century" w:hAnsi="Century"/>
                <w:lang w:val="tr-TR"/>
              </w:rPr>
              <w:instrText xml:space="preserve"> SEQ Tablo \* ARABIC \s 2 </w:instrText>
            </w:r>
            <w:r w:rsidRPr="0059333C">
              <w:rPr>
                <w:rFonts w:ascii="Century" w:hAnsi="Century"/>
                <w:lang w:val="tr-TR"/>
              </w:rPr>
              <w:fldChar w:fldCharType="separate"/>
            </w:r>
            <w:r w:rsidR="00DA718E">
              <w:rPr>
                <w:rFonts w:ascii="Century" w:hAnsi="Century"/>
                <w:noProof/>
                <w:lang w:val="tr-TR"/>
              </w:rPr>
              <w:t>2</w:t>
            </w:r>
            <w:r w:rsidRPr="0059333C">
              <w:rPr>
                <w:rFonts w:ascii="Century" w:hAnsi="Century"/>
                <w:lang w:val="tr-TR"/>
              </w:rPr>
              <w:fldChar w:fldCharType="end"/>
            </w:r>
            <w:r w:rsidRPr="0059333C">
              <w:rPr>
                <w:rFonts w:ascii="Century" w:hAnsi="Century"/>
                <w:lang w:val="tr-TR"/>
              </w:rPr>
              <w:t xml:space="preserve">; </w:t>
            </w:r>
            <w:r w:rsidR="009E5A95" w:rsidRPr="0059333C">
              <w:rPr>
                <w:rFonts w:ascii="Century" w:hAnsi="Century"/>
                <w:lang w:val="tr-TR"/>
              </w:rPr>
              <w:t>Varlık–Yükümlülük/Özsermaye</w:t>
            </w:r>
            <w:r w:rsidRPr="0059333C">
              <w:rPr>
                <w:rFonts w:ascii="Century" w:hAnsi="Century"/>
                <w:bCs w:val="0"/>
                <w:lang w:val="tr-TR"/>
              </w:rPr>
              <w:t xml:space="preserve"> Bileşenler</w:t>
            </w:r>
            <w:r w:rsidR="009E5A95" w:rsidRPr="0059333C">
              <w:rPr>
                <w:rFonts w:ascii="Century" w:hAnsi="Century"/>
                <w:bCs w:val="0"/>
                <w:lang w:val="tr-TR"/>
              </w:rPr>
              <w:t>i</w:t>
            </w:r>
            <w:r w:rsidRPr="0059333C">
              <w:rPr>
                <w:rFonts w:ascii="Century" w:hAnsi="Century"/>
                <w:bCs w:val="0"/>
                <w:lang w:val="tr-TR"/>
              </w:rPr>
              <w:t xml:space="preserve"> (%) - </w:t>
            </w:r>
            <w:r w:rsidRPr="0059333C">
              <w:rPr>
                <w:rFonts w:ascii="Century" w:hAnsi="Century"/>
                <w:b w:val="0"/>
                <w:i/>
                <w:iCs/>
                <w:lang w:val="tr-TR"/>
              </w:rPr>
              <w:t xml:space="preserve">Assets </w:t>
            </w:r>
            <w:r w:rsidR="009E5A95" w:rsidRPr="0059333C">
              <w:rPr>
                <w:rFonts w:ascii="Century" w:hAnsi="Century"/>
                <w:b w:val="0"/>
                <w:i/>
                <w:iCs/>
                <w:lang w:val="tr-TR"/>
              </w:rPr>
              <w:t>–</w:t>
            </w:r>
            <w:r w:rsidRPr="0059333C">
              <w:rPr>
                <w:rFonts w:ascii="Century" w:hAnsi="Century"/>
                <w:b w:val="0"/>
                <w:i/>
                <w:iCs/>
                <w:lang w:val="tr-TR"/>
              </w:rPr>
              <w:t xml:space="preserve"> Liabilities</w:t>
            </w:r>
            <w:r w:rsidR="009E5A95" w:rsidRPr="0059333C">
              <w:rPr>
                <w:rFonts w:ascii="Century" w:hAnsi="Century"/>
                <w:b w:val="0"/>
                <w:i/>
                <w:iCs/>
                <w:lang w:val="tr-TR"/>
              </w:rPr>
              <w:t xml:space="preserve"> </w:t>
            </w:r>
            <w:r w:rsidRPr="0059333C">
              <w:rPr>
                <w:rFonts w:ascii="Century" w:hAnsi="Century"/>
                <w:b w:val="0"/>
                <w:i/>
                <w:iCs/>
                <w:lang w:val="tr-TR"/>
              </w:rPr>
              <w:t>/ Shareholder</w:t>
            </w:r>
            <w:r w:rsidR="00F66888" w:rsidRPr="0059333C">
              <w:rPr>
                <w:rFonts w:ascii="Century" w:hAnsi="Century"/>
                <w:b w:val="0"/>
                <w:i/>
                <w:iCs/>
                <w:lang w:val="tr-TR"/>
              </w:rPr>
              <w:t>s</w:t>
            </w:r>
            <w:r w:rsidRPr="0059333C">
              <w:rPr>
                <w:rFonts w:ascii="Century" w:hAnsi="Century"/>
                <w:b w:val="0"/>
                <w:i/>
                <w:iCs/>
                <w:lang w:val="tr-TR"/>
              </w:rPr>
              <w:t>' Equity</w:t>
            </w:r>
            <w:bookmarkEnd w:id="53"/>
          </w:p>
          <w:p w:rsidR="00F66888" w:rsidRPr="00BE60FF" w:rsidRDefault="00BE60FF" w:rsidP="004C3C96">
            <w:pPr>
              <w:jc w:val="both"/>
              <w:rPr>
                <w:rFonts w:ascii="Century" w:hAnsi="Century"/>
                <w:highlight w:val="yellow"/>
                <w:lang w:val="tr-TR"/>
              </w:rPr>
            </w:pPr>
            <w:r w:rsidRPr="00BE60FF">
              <w:rPr>
                <w:rFonts w:ascii="Century" w:hAnsi="Century"/>
                <w:lang w:val="tr-TR"/>
              </w:rPr>
              <w:pict>
                <v:shape id="_x0000_i1050" type="#_x0000_t75" style="width:455.25pt;height:151.5pt">
                  <v:imagedata r:id="rId40" o:title=""/>
                </v:shape>
              </w:pict>
            </w:r>
          </w:p>
          <w:p w:rsidR="00083F39" w:rsidRPr="00367FA3" w:rsidRDefault="00083F39" w:rsidP="004C3C96">
            <w:pPr>
              <w:jc w:val="both"/>
              <w:rPr>
                <w:rFonts w:ascii="Century" w:hAnsi="Century"/>
                <w:highlight w:val="yellow"/>
                <w:lang w:val="tr-TR"/>
              </w:rPr>
            </w:pPr>
          </w:p>
        </w:tc>
      </w:tr>
      <w:tr w:rsidR="0008341C" w:rsidRPr="00367FA3">
        <w:tc>
          <w:tcPr>
            <w:tcW w:w="9855" w:type="dxa"/>
            <w:gridSpan w:val="5"/>
          </w:tcPr>
          <w:p w:rsidR="0008341C" w:rsidRPr="00B764E5" w:rsidRDefault="0008341C" w:rsidP="00D96FCE">
            <w:pPr>
              <w:pStyle w:val="ResimYazs"/>
              <w:jc w:val="center"/>
              <w:rPr>
                <w:rFonts w:ascii="Century" w:hAnsi="Century"/>
                <w:b w:val="0"/>
                <w:i/>
                <w:lang w:val="tr-TR"/>
              </w:rPr>
            </w:pPr>
            <w:bookmarkStart w:id="54" w:name="_Toc170278157"/>
            <w:bookmarkStart w:id="55" w:name="_Toc170665581"/>
            <w:r w:rsidRPr="00B764E5">
              <w:rPr>
                <w:rFonts w:ascii="Century" w:hAnsi="Century"/>
                <w:lang w:val="tr-TR"/>
              </w:rPr>
              <w:t xml:space="preserve">Grafik </w:t>
            </w:r>
            <w:r w:rsidRPr="00B764E5">
              <w:rPr>
                <w:rFonts w:ascii="Century" w:hAnsi="Century"/>
                <w:lang w:val="tr-TR"/>
              </w:rPr>
              <w:fldChar w:fldCharType="begin"/>
            </w:r>
            <w:r w:rsidRPr="00B764E5">
              <w:rPr>
                <w:rFonts w:ascii="Century" w:hAnsi="Century"/>
                <w:lang w:val="tr-TR"/>
              </w:rPr>
              <w:instrText xml:space="preserve"> STYLEREF 2 \s </w:instrText>
            </w:r>
            <w:r w:rsidRPr="00B764E5">
              <w:rPr>
                <w:rFonts w:ascii="Century" w:hAnsi="Century"/>
                <w:lang w:val="tr-TR"/>
              </w:rPr>
              <w:fldChar w:fldCharType="separate"/>
            </w:r>
            <w:r w:rsidR="00DA718E">
              <w:rPr>
                <w:rFonts w:ascii="Century" w:hAnsi="Century"/>
                <w:noProof/>
                <w:lang w:val="tr-TR"/>
              </w:rPr>
              <w:t>1.4</w:t>
            </w:r>
            <w:r w:rsidRPr="00B764E5">
              <w:rPr>
                <w:rFonts w:ascii="Century" w:hAnsi="Century"/>
                <w:lang w:val="tr-TR"/>
              </w:rPr>
              <w:fldChar w:fldCharType="end"/>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DA718E">
              <w:rPr>
                <w:rFonts w:ascii="Century" w:hAnsi="Century"/>
                <w:noProof/>
                <w:lang w:val="tr-TR"/>
              </w:rPr>
              <w:t>1</w:t>
            </w:r>
            <w:r w:rsidRPr="00B764E5">
              <w:rPr>
                <w:rFonts w:ascii="Century" w:hAnsi="Century"/>
                <w:lang w:val="tr-TR"/>
              </w:rPr>
              <w:fldChar w:fldCharType="end"/>
            </w:r>
            <w:r w:rsidRPr="00B764E5">
              <w:rPr>
                <w:rFonts w:ascii="Century" w:hAnsi="Century"/>
                <w:lang w:val="tr-TR"/>
              </w:rPr>
              <w:t xml:space="preserve">; </w:t>
            </w:r>
            <w:r w:rsidR="009E5A95" w:rsidRPr="00B764E5">
              <w:rPr>
                <w:rFonts w:ascii="Century" w:hAnsi="Century"/>
                <w:lang w:val="tr-TR"/>
              </w:rPr>
              <w:t>Varlıkların</w:t>
            </w:r>
            <w:r w:rsidRPr="00B764E5">
              <w:rPr>
                <w:rFonts w:ascii="Century" w:hAnsi="Century"/>
                <w:lang w:val="tr-TR"/>
              </w:rPr>
              <w:t xml:space="preserve"> Dağılımı – </w:t>
            </w:r>
            <w:r w:rsidRPr="00B764E5">
              <w:rPr>
                <w:rFonts w:ascii="Century" w:hAnsi="Century"/>
                <w:b w:val="0"/>
                <w:i/>
                <w:lang w:val="tr-TR"/>
              </w:rPr>
              <w:t>Distribution of Assets</w:t>
            </w:r>
            <w:bookmarkEnd w:id="54"/>
            <w:bookmarkEnd w:id="55"/>
          </w:p>
          <w:p w:rsidR="00CC088B" w:rsidRPr="00B764E5" w:rsidRDefault="00B764E5" w:rsidP="00CF74F5">
            <w:pPr>
              <w:jc w:val="center"/>
              <w:rPr>
                <w:rFonts w:ascii="Century" w:hAnsi="Century"/>
                <w:sz w:val="20"/>
                <w:szCs w:val="20"/>
                <w:highlight w:val="yellow"/>
                <w:lang w:val="tr-TR"/>
              </w:rPr>
            </w:pPr>
            <w:r w:rsidRPr="00B764E5">
              <w:rPr>
                <w:rFonts w:ascii="Century" w:hAnsi="Century"/>
                <w:sz w:val="20"/>
                <w:szCs w:val="20"/>
                <w:lang w:val="tr-TR"/>
              </w:rPr>
              <w:pict>
                <v:shape id="_x0000_i1051" type="#_x0000_t75" style="width:348.75pt;height:200.25pt">
                  <v:imagedata r:id="rId41" o:title=""/>
                </v:shape>
              </w:pict>
            </w:r>
          </w:p>
        </w:tc>
      </w:tr>
      <w:tr w:rsidR="00D35446" w:rsidRPr="00367FA3">
        <w:tc>
          <w:tcPr>
            <w:tcW w:w="4815" w:type="dxa"/>
            <w:gridSpan w:val="2"/>
          </w:tcPr>
          <w:p w:rsidR="00D61B7D" w:rsidRDefault="00D61B7D" w:rsidP="008D17FE">
            <w:pPr>
              <w:rPr>
                <w:rFonts w:ascii="Century" w:hAnsi="Century"/>
                <w:highlight w:val="yellow"/>
                <w:lang w:val="tr-TR"/>
              </w:rPr>
            </w:pPr>
          </w:p>
          <w:p w:rsidR="00E70D98" w:rsidRDefault="00E70D98" w:rsidP="008D17FE">
            <w:pPr>
              <w:rPr>
                <w:rFonts w:ascii="Century" w:hAnsi="Century"/>
                <w:highlight w:val="yellow"/>
                <w:lang w:val="tr-TR"/>
              </w:rPr>
            </w:pPr>
          </w:p>
          <w:p w:rsidR="00E70D98" w:rsidRDefault="00E70D98" w:rsidP="008D17FE">
            <w:pPr>
              <w:rPr>
                <w:rFonts w:ascii="Century" w:hAnsi="Century"/>
                <w:highlight w:val="yellow"/>
                <w:lang w:val="tr-TR"/>
              </w:rPr>
            </w:pPr>
          </w:p>
          <w:p w:rsidR="00E70D98" w:rsidRDefault="00E70D98" w:rsidP="008D17FE">
            <w:pPr>
              <w:rPr>
                <w:rFonts w:ascii="Century" w:hAnsi="Century"/>
                <w:highlight w:val="yellow"/>
                <w:lang w:val="tr-TR"/>
              </w:rPr>
            </w:pPr>
          </w:p>
          <w:p w:rsidR="00102777" w:rsidRPr="00367FA3" w:rsidRDefault="00102777"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367FA3" w:rsidRDefault="00D35446" w:rsidP="008D17FE">
            <w:pPr>
              <w:rPr>
                <w:rFonts w:ascii="Century" w:hAnsi="Century"/>
                <w:highlight w:val="yellow"/>
                <w:lang w:val="tr-TR"/>
              </w:rPr>
            </w:pPr>
          </w:p>
        </w:tc>
      </w:tr>
      <w:tr w:rsidR="0008341C" w:rsidRPr="00367FA3">
        <w:tc>
          <w:tcPr>
            <w:tcW w:w="9855" w:type="dxa"/>
            <w:gridSpan w:val="5"/>
          </w:tcPr>
          <w:p w:rsidR="0008341C" w:rsidRPr="00B764E5" w:rsidRDefault="0008341C" w:rsidP="00D96FCE">
            <w:pPr>
              <w:pStyle w:val="ResimYazs"/>
              <w:jc w:val="center"/>
              <w:rPr>
                <w:rFonts w:ascii="Century" w:hAnsi="Century"/>
                <w:b w:val="0"/>
                <w:i/>
                <w:lang w:val="tr-TR"/>
              </w:rPr>
            </w:pPr>
            <w:bookmarkStart w:id="56" w:name="_Toc170665582"/>
            <w:r w:rsidRPr="00B764E5">
              <w:rPr>
                <w:rFonts w:ascii="Century" w:hAnsi="Century"/>
                <w:lang w:val="tr-TR"/>
              </w:rPr>
              <w:lastRenderedPageBreak/>
              <w:t xml:space="preserve">Grafik </w:t>
            </w:r>
            <w:r w:rsidRPr="00B764E5">
              <w:rPr>
                <w:rFonts w:ascii="Century" w:hAnsi="Century"/>
                <w:lang w:val="tr-TR"/>
              </w:rPr>
              <w:fldChar w:fldCharType="begin"/>
            </w:r>
            <w:r w:rsidRPr="00B764E5">
              <w:rPr>
                <w:rFonts w:ascii="Century" w:hAnsi="Century"/>
                <w:lang w:val="tr-TR"/>
              </w:rPr>
              <w:instrText xml:space="preserve"> STYLEREF 2 \s </w:instrText>
            </w:r>
            <w:r w:rsidRPr="00B764E5">
              <w:rPr>
                <w:rFonts w:ascii="Century" w:hAnsi="Century"/>
                <w:lang w:val="tr-TR"/>
              </w:rPr>
              <w:fldChar w:fldCharType="separate"/>
            </w:r>
            <w:r w:rsidR="00DA718E">
              <w:rPr>
                <w:rFonts w:ascii="Century" w:hAnsi="Century"/>
                <w:noProof/>
                <w:lang w:val="tr-TR"/>
              </w:rPr>
              <w:t>1.4</w:t>
            </w:r>
            <w:r w:rsidRPr="00B764E5">
              <w:rPr>
                <w:rFonts w:ascii="Century" w:hAnsi="Century"/>
                <w:lang w:val="tr-TR"/>
              </w:rPr>
              <w:fldChar w:fldCharType="end"/>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DA718E">
              <w:rPr>
                <w:rFonts w:ascii="Century" w:hAnsi="Century"/>
                <w:noProof/>
                <w:lang w:val="tr-TR"/>
              </w:rPr>
              <w:t>2</w:t>
            </w:r>
            <w:r w:rsidRPr="00B764E5">
              <w:rPr>
                <w:rFonts w:ascii="Century" w:hAnsi="Century"/>
                <w:lang w:val="tr-TR"/>
              </w:rPr>
              <w:fldChar w:fldCharType="end"/>
            </w:r>
            <w:r w:rsidRPr="00B764E5">
              <w:rPr>
                <w:rFonts w:ascii="Century" w:hAnsi="Century"/>
                <w:lang w:val="tr-TR"/>
              </w:rPr>
              <w:t xml:space="preserve">; </w:t>
            </w:r>
            <w:r w:rsidR="00DF737E" w:rsidRPr="00B764E5">
              <w:rPr>
                <w:rFonts w:ascii="Century" w:hAnsi="Century"/>
                <w:lang w:val="tr-TR"/>
              </w:rPr>
              <w:t xml:space="preserve">Yükümlülük ve Özsermaye </w:t>
            </w:r>
            <w:r w:rsidRPr="00B764E5">
              <w:rPr>
                <w:rFonts w:ascii="Century" w:hAnsi="Century"/>
                <w:lang w:val="tr-TR"/>
              </w:rPr>
              <w:t xml:space="preserve">Dağılımı – </w:t>
            </w:r>
            <w:r w:rsidRPr="00B764E5">
              <w:rPr>
                <w:rFonts w:ascii="Century" w:hAnsi="Century"/>
                <w:b w:val="0"/>
                <w:i/>
                <w:lang w:val="tr-TR"/>
              </w:rPr>
              <w:t>Distribution of Liabilities/Shareholders</w:t>
            </w:r>
            <w:r w:rsidR="00F66888" w:rsidRPr="00B764E5">
              <w:rPr>
                <w:rFonts w:ascii="Century" w:hAnsi="Century"/>
                <w:b w:val="0"/>
                <w:i/>
                <w:lang w:val="tr-TR"/>
              </w:rPr>
              <w:t>’</w:t>
            </w:r>
            <w:r w:rsidRPr="00B764E5">
              <w:rPr>
                <w:rFonts w:ascii="Century" w:hAnsi="Century"/>
                <w:b w:val="0"/>
                <w:i/>
                <w:lang w:val="tr-TR"/>
              </w:rPr>
              <w:t xml:space="preserve"> Equity</w:t>
            </w:r>
            <w:bookmarkEnd w:id="56"/>
          </w:p>
          <w:p w:rsidR="00CC088B" w:rsidRPr="00B764E5" w:rsidRDefault="00B764E5" w:rsidP="00D96FCE">
            <w:pPr>
              <w:jc w:val="center"/>
              <w:rPr>
                <w:rFonts w:ascii="Century" w:hAnsi="Century"/>
                <w:highlight w:val="yellow"/>
                <w:lang w:val="tr-TR"/>
              </w:rPr>
            </w:pPr>
            <w:r w:rsidRPr="00B764E5">
              <w:rPr>
                <w:rFonts w:ascii="Century" w:hAnsi="Century"/>
                <w:lang w:val="tr-TR"/>
              </w:rPr>
              <w:pict>
                <v:shape id="_x0000_i1052" type="#_x0000_t75" style="width:379.5pt;height:203.25pt">
                  <v:imagedata r:id="rId42" o:title=""/>
                </v:shape>
              </w:pict>
            </w:r>
          </w:p>
        </w:tc>
      </w:tr>
      <w:tr w:rsidR="00D35446" w:rsidRPr="00367FA3">
        <w:tc>
          <w:tcPr>
            <w:tcW w:w="4815" w:type="dxa"/>
            <w:gridSpan w:val="2"/>
          </w:tcPr>
          <w:p w:rsidR="0008341C" w:rsidRPr="0010080F" w:rsidRDefault="0008341C" w:rsidP="008D17FE">
            <w:pPr>
              <w:jc w:val="both"/>
              <w:rPr>
                <w:rFonts w:ascii="Century" w:hAnsi="Century"/>
                <w:lang w:val="tr-TR"/>
              </w:rPr>
            </w:pPr>
            <w:r w:rsidRPr="0010080F">
              <w:rPr>
                <w:rFonts w:ascii="Century" w:hAnsi="Century"/>
                <w:lang w:val="tr-TR"/>
              </w:rPr>
              <w:t>Sigortacılık teknik karşılıklarının yıllar itibariyle seyri</w:t>
            </w:r>
            <w:r w:rsidR="00C42E60" w:rsidRPr="0010080F">
              <w:rPr>
                <w:rFonts w:ascii="Century" w:hAnsi="Century"/>
                <w:lang w:val="tr-TR"/>
              </w:rPr>
              <w:t>nde</w:t>
            </w:r>
            <w:r w:rsidRPr="0010080F">
              <w:rPr>
                <w:rFonts w:ascii="Century" w:hAnsi="Century"/>
                <w:lang w:val="tr-TR"/>
              </w:rPr>
              <w:t>, a</w:t>
            </w:r>
            <w:r w:rsidR="00F268E9">
              <w:rPr>
                <w:rFonts w:ascii="Century" w:hAnsi="Century"/>
                <w:lang w:val="tr-TR"/>
              </w:rPr>
              <w:t>ktüeryal matematik karşılıklar ile</w:t>
            </w:r>
            <w:r w:rsidRPr="0010080F">
              <w:rPr>
                <w:rFonts w:ascii="Century" w:hAnsi="Century"/>
                <w:lang w:val="tr-TR"/>
              </w:rPr>
              <w:t xml:space="preserve"> kar payı karşılıkları toplamından oluşan hayat matematik karşılıkları hariç </w:t>
            </w:r>
            <w:r w:rsidR="007A3676">
              <w:rPr>
                <w:rFonts w:ascii="Century" w:hAnsi="Century"/>
                <w:lang w:val="tr-TR"/>
              </w:rPr>
              <w:t>kazanılmamış prim karşılığı ve muallak tazminat karşılığında</w:t>
            </w:r>
            <w:r w:rsidRPr="0010080F">
              <w:rPr>
                <w:rFonts w:ascii="Century" w:hAnsi="Century"/>
                <w:lang w:val="tr-TR"/>
              </w:rPr>
              <w:t xml:space="preserve"> artış olduğu gözlenmektedir. Hayat matematik karşılıkların</w:t>
            </w:r>
            <w:r w:rsidR="00C42E60" w:rsidRPr="0010080F">
              <w:rPr>
                <w:rFonts w:ascii="Century" w:hAnsi="Century"/>
                <w:lang w:val="tr-TR"/>
              </w:rPr>
              <w:t xml:space="preserve">ın son yıllarda yatay seyir göstermesinde </w:t>
            </w:r>
            <w:r w:rsidRPr="0010080F">
              <w:rPr>
                <w:rFonts w:ascii="Century" w:hAnsi="Century"/>
                <w:lang w:val="tr-TR"/>
              </w:rPr>
              <w:t>hayat sigortasından bireysel emeklilik sistemine geçişler etkili olm</w:t>
            </w:r>
            <w:r w:rsidR="00C42E60" w:rsidRPr="0010080F">
              <w:rPr>
                <w:rFonts w:ascii="Century" w:hAnsi="Century"/>
                <w:lang w:val="tr-TR"/>
              </w:rPr>
              <w:t>uştur.</w:t>
            </w:r>
          </w:p>
          <w:p w:rsidR="000355EE" w:rsidRPr="00367FA3" w:rsidRDefault="000355EE"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FB4015" w:rsidRPr="00CF3FF2" w:rsidRDefault="00FB4015" w:rsidP="00FB4015">
            <w:pPr>
              <w:jc w:val="both"/>
              <w:rPr>
                <w:rFonts w:ascii="Century" w:hAnsi="Century"/>
                <w:color w:val="404040"/>
              </w:rPr>
            </w:pPr>
            <w:r w:rsidRPr="00CF3FF2">
              <w:rPr>
                <w:rFonts w:ascii="Century" w:hAnsi="Century"/>
                <w:color w:val="404040"/>
              </w:rPr>
              <w:t>It is seen from the graphics above that technical provisions except the mathematical ones, has increased in recent years. Transfers from life insurance to private pension system affected the transaction of life insurance technical provisions which is a composition of actuarial mathematical provisions and profit share.</w:t>
            </w:r>
          </w:p>
          <w:p w:rsidR="00D35446" w:rsidRPr="00367FA3" w:rsidRDefault="00D35446" w:rsidP="00FB4015">
            <w:pPr>
              <w:jc w:val="both"/>
              <w:rPr>
                <w:rFonts w:ascii="Century" w:hAnsi="Century"/>
                <w:color w:val="595959"/>
                <w:highlight w:val="yellow"/>
                <w:lang w:val="tr-TR"/>
              </w:rPr>
            </w:pPr>
          </w:p>
        </w:tc>
      </w:tr>
      <w:tr w:rsidR="0008341C" w:rsidRPr="00367FA3">
        <w:tc>
          <w:tcPr>
            <w:tcW w:w="9855" w:type="dxa"/>
            <w:gridSpan w:val="5"/>
          </w:tcPr>
          <w:p w:rsidR="0008341C" w:rsidRPr="0010080F" w:rsidRDefault="0008341C" w:rsidP="00D96FCE">
            <w:pPr>
              <w:pStyle w:val="ResimYazs"/>
              <w:jc w:val="center"/>
              <w:rPr>
                <w:rFonts w:ascii="Century" w:hAnsi="Century"/>
                <w:lang w:val="tr-TR"/>
              </w:rPr>
            </w:pPr>
            <w:bookmarkStart w:id="57" w:name="_Toc170665538"/>
            <w:r w:rsidRPr="0010080F">
              <w:rPr>
                <w:rFonts w:ascii="Century" w:hAnsi="Century"/>
                <w:lang w:val="tr-TR"/>
              </w:rPr>
              <w:t xml:space="preserve">Tablo </w:t>
            </w:r>
            <w:r w:rsidRPr="0010080F">
              <w:rPr>
                <w:rFonts w:ascii="Century" w:hAnsi="Century"/>
                <w:lang w:val="tr-TR"/>
              </w:rPr>
              <w:fldChar w:fldCharType="begin"/>
            </w:r>
            <w:r w:rsidRPr="0010080F">
              <w:rPr>
                <w:rFonts w:ascii="Century" w:hAnsi="Century"/>
                <w:lang w:val="tr-TR"/>
              </w:rPr>
              <w:instrText xml:space="preserve"> STYLEREF 2 \s </w:instrText>
            </w:r>
            <w:r w:rsidRPr="0010080F">
              <w:rPr>
                <w:rFonts w:ascii="Century" w:hAnsi="Century"/>
                <w:lang w:val="tr-TR"/>
              </w:rPr>
              <w:fldChar w:fldCharType="separate"/>
            </w:r>
            <w:r w:rsidR="00DA718E">
              <w:rPr>
                <w:rFonts w:ascii="Century" w:hAnsi="Century"/>
                <w:noProof/>
                <w:lang w:val="tr-TR"/>
              </w:rPr>
              <w:t>1.4</w:t>
            </w:r>
            <w:r w:rsidRPr="0010080F">
              <w:rPr>
                <w:rFonts w:ascii="Century" w:hAnsi="Century"/>
                <w:lang w:val="tr-TR"/>
              </w:rPr>
              <w:fldChar w:fldCharType="end"/>
            </w:r>
            <w:r w:rsidRPr="0010080F">
              <w:rPr>
                <w:rFonts w:ascii="Century" w:hAnsi="Century"/>
                <w:lang w:val="tr-TR"/>
              </w:rPr>
              <w:noBreakHyphen/>
            </w:r>
            <w:r w:rsidRPr="0010080F">
              <w:rPr>
                <w:rFonts w:ascii="Century" w:hAnsi="Century"/>
                <w:lang w:val="tr-TR"/>
              </w:rPr>
              <w:fldChar w:fldCharType="begin"/>
            </w:r>
            <w:r w:rsidRPr="0010080F">
              <w:rPr>
                <w:rFonts w:ascii="Century" w:hAnsi="Century"/>
                <w:lang w:val="tr-TR"/>
              </w:rPr>
              <w:instrText xml:space="preserve"> SEQ Tablo \* ARABIC \s 2 </w:instrText>
            </w:r>
            <w:r w:rsidRPr="0010080F">
              <w:rPr>
                <w:rFonts w:ascii="Century" w:hAnsi="Century"/>
                <w:lang w:val="tr-TR"/>
              </w:rPr>
              <w:fldChar w:fldCharType="separate"/>
            </w:r>
            <w:r w:rsidR="00DA718E">
              <w:rPr>
                <w:rFonts w:ascii="Century" w:hAnsi="Century"/>
                <w:noProof/>
                <w:lang w:val="tr-TR"/>
              </w:rPr>
              <w:t>3</w:t>
            </w:r>
            <w:r w:rsidRPr="0010080F">
              <w:rPr>
                <w:rFonts w:ascii="Century" w:hAnsi="Century"/>
                <w:lang w:val="tr-TR"/>
              </w:rPr>
              <w:fldChar w:fldCharType="end"/>
            </w:r>
            <w:r w:rsidRPr="0010080F">
              <w:rPr>
                <w:rFonts w:ascii="Century" w:hAnsi="Century"/>
                <w:lang w:val="tr-TR"/>
              </w:rPr>
              <w:t xml:space="preserve">; </w:t>
            </w:r>
            <w:r w:rsidRPr="0010080F">
              <w:rPr>
                <w:rFonts w:ascii="Century" w:hAnsi="Century"/>
                <w:bCs w:val="0"/>
                <w:lang w:val="tr-TR"/>
              </w:rPr>
              <w:t xml:space="preserve">Teknik Karşılıklar*  - </w:t>
            </w:r>
            <w:r w:rsidRPr="0010080F">
              <w:rPr>
                <w:rFonts w:ascii="Century" w:hAnsi="Century"/>
                <w:b w:val="0"/>
                <w:bCs w:val="0"/>
                <w:i/>
                <w:iCs/>
                <w:lang w:val="tr-TR"/>
              </w:rPr>
              <w:t>Technical Provisions*</w:t>
            </w:r>
            <w:bookmarkEnd w:id="57"/>
          </w:p>
          <w:p w:rsidR="0010080F" w:rsidRDefault="0010080F" w:rsidP="00D96FCE">
            <w:pPr>
              <w:jc w:val="center"/>
              <w:rPr>
                <w:rFonts w:ascii="Century" w:hAnsi="Century"/>
                <w:sz w:val="20"/>
                <w:szCs w:val="20"/>
                <w:lang w:val="tr-TR"/>
              </w:rPr>
            </w:pPr>
          </w:p>
          <w:p w:rsidR="0008341C" w:rsidRPr="0010080F" w:rsidRDefault="0010080F" w:rsidP="00D96FCE">
            <w:pPr>
              <w:jc w:val="center"/>
              <w:rPr>
                <w:rFonts w:ascii="Century" w:hAnsi="Century"/>
                <w:sz w:val="20"/>
                <w:szCs w:val="20"/>
                <w:highlight w:val="yellow"/>
                <w:lang w:val="tr-TR"/>
              </w:rPr>
            </w:pPr>
            <w:r w:rsidRPr="0010080F">
              <w:rPr>
                <w:rFonts w:ascii="Century" w:hAnsi="Century"/>
                <w:sz w:val="20"/>
                <w:szCs w:val="20"/>
                <w:lang w:val="tr-TR"/>
              </w:rPr>
              <w:pict>
                <v:shape id="_x0000_i1053" type="#_x0000_t75" style="width:442.5pt;height:77.25pt">
                  <v:imagedata r:id="rId43" o:title=""/>
                </v:shape>
              </w:pict>
            </w:r>
          </w:p>
        </w:tc>
      </w:tr>
      <w:tr w:rsidR="00D35446" w:rsidRPr="00367FA3">
        <w:tc>
          <w:tcPr>
            <w:tcW w:w="4815" w:type="dxa"/>
            <w:gridSpan w:val="2"/>
          </w:tcPr>
          <w:p w:rsidR="004C3C96" w:rsidRDefault="004C3C96" w:rsidP="008D17FE">
            <w:pPr>
              <w:jc w:val="both"/>
              <w:rPr>
                <w:rFonts w:ascii="Century" w:hAnsi="Century"/>
                <w:highlight w:val="yellow"/>
                <w:lang w:val="tr-TR"/>
              </w:rPr>
            </w:pPr>
          </w:p>
          <w:p w:rsidR="0010080F" w:rsidRPr="00A427E0" w:rsidRDefault="0010080F" w:rsidP="008D17FE">
            <w:pPr>
              <w:jc w:val="both"/>
              <w:rPr>
                <w:rFonts w:ascii="Century" w:hAnsi="Century"/>
                <w:lang w:val="tr-TR"/>
              </w:rPr>
            </w:pPr>
          </w:p>
          <w:p w:rsidR="00F66888" w:rsidRPr="00A427E0" w:rsidRDefault="00FB4015" w:rsidP="00C96626">
            <w:pPr>
              <w:jc w:val="both"/>
              <w:rPr>
                <w:rFonts w:ascii="Century" w:hAnsi="Century"/>
                <w:lang w:val="tr-TR"/>
              </w:rPr>
            </w:pPr>
            <w:r w:rsidRPr="00A427E0">
              <w:rPr>
                <w:rFonts w:ascii="Century" w:hAnsi="Century"/>
                <w:lang w:val="tr-TR"/>
              </w:rPr>
              <w:t xml:space="preserve">Özsermayenin yıllar itibariyle seyrinde, 2005 yılında özsermaye toplamında %117 oranında artış olduğu, 2006 yılında </w:t>
            </w:r>
            <w:r w:rsidR="00A427E0" w:rsidRPr="00A427E0">
              <w:rPr>
                <w:rFonts w:ascii="Century" w:hAnsi="Century"/>
                <w:lang w:val="tr-TR"/>
              </w:rPr>
              <w:t>fazla bir değişiklik yaşanma</w:t>
            </w:r>
            <w:r w:rsidR="00F268E9">
              <w:rPr>
                <w:rFonts w:ascii="Century" w:hAnsi="Century"/>
                <w:lang w:val="tr-TR"/>
              </w:rPr>
              <w:t>dığı</w:t>
            </w:r>
            <w:r w:rsidR="00E550CF">
              <w:rPr>
                <w:rFonts w:ascii="Century" w:hAnsi="Century"/>
                <w:lang w:val="tr-TR"/>
              </w:rPr>
              <w:t xml:space="preserve"> ve</w:t>
            </w:r>
            <w:r w:rsidR="00A427E0" w:rsidRPr="00A427E0">
              <w:rPr>
                <w:rFonts w:ascii="Century" w:hAnsi="Century"/>
                <w:lang w:val="tr-TR"/>
              </w:rPr>
              <w:t xml:space="preserve"> 2007 yılında </w:t>
            </w:r>
            <w:r w:rsidRPr="00A427E0">
              <w:rPr>
                <w:rFonts w:ascii="Century" w:hAnsi="Century"/>
                <w:lang w:val="tr-TR"/>
              </w:rPr>
              <w:t>%</w:t>
            </w:r>
            <w:r w:rsidR="00A427E0" w:rsidRPr="00A427E0">
              <w:rPr>
                <w:rFonts w:ascii="Century" w:hAnsi="Century"/>
                <w:lang w:val="tr-TR"/>
              </w:rPr>
              <w:t>36</w:t>
            </w:r>
            <w:r w:rsidRPr="00A427E0">
              <w:rPr>
                <w:rFonts w:ascii="Century" w:hAnsi="Century"/>
                <w:lang w:val="tr-TR"/>
              </w:rPr>
              <w:t xml:space="preserve"> oranında art</w:t>
            </w:r>
            <w:r w:rsidR="00A427E0" w:rsidRPr="00A427E0">
              <w:rPr>
                <w:rFonts w:ascii="Century" w:hAnsi="Century"/>
                <w:lang w:val="tr-TR"/>
              </w:rPr>
              <w:t>ış olduğu görülmektedir.</w:t>
            </w:r>
            <w:r w:rsidRPr="00A427E0">
              <w:rPr>
                <w:rFonts w:ascii="Century" w:hAnsi="Century"/>
                <w:lang w:val="tr-TR"/>
              </w:rPr>
              <w:t xml:space="preserve"> 200</w:t>
            </w:r>
            <w:r w:rsidR="00A427E0" w:rsidRPr="00A427E0">
              <w:rPr>
                <w:rFonts w:ascii="Century" w:hAnsi="Century"/>
                <w:lang w:val="tr-TR"/>
              </w:rPr>
              <w:t>7</w:t>
            </w:r>
            <w:r w:rsidRPr="00A427E0">
              <w:rPr>
                <w:rFonts w:ascii="Century" w:hAnsi="Century"/>
                <w:lang w:val="tr-TR"/>
              </w:rPr>
              <w:t xml:space="preserve"> yılında</w:t>
            </w:r>
            <w:r w:rsidR="00A427E0" w:rsidRPr="00A427E0">
              <w:rPr>
                <w:rFonts w:ascii="Century" w:hAnsi="Century"/>
                <w:lang w:val="tr-TR"/>
              </w:rPr>
              <w:t xml:space="preserve"> tutar olarak kar ve sermaye yedekleri </w:t>
            </w:r>
            <w:r w:rsidR="00A427E0" w:rsidRPr="005564FA">
              <w:rPr>
                <w:rFonts w:ascii="Century" w:hAnsi="Century"/>
                <w:lang w:val="tr-TR"/>
              </w:rPr>
              <w:t>kalemi</w:t>
            </w:r>
            <w:r w:rsidR="00D54945">
              <w:rPr>
                <w:rFonts w:ascii="Century" w:hAnsi="Century"/>
                <w:lang w:val="tr-TR"/>
              </w:rPr>
              <w:t>nde önemli artış yaşanırken, oransal olarak en büyük artış dönem</w:t>
            </w:r>
            <w:r w:rsidR="00A427E0" w:rsidRPr="005564FA">
              <w:rPr>
                <w:rFonts w:ascii="Century" w:hAnsi="Century"/>
                <w:lang w:val="tr-TR"/>
              </w:rPr>
              <w:t xml:space="preserve"> karı</w:t>
            </w:r>
            <w:r w:rsidR="00D54945">
              <w:rPr>
                <w:rFonts w:ascii="Century" w:hAnsi="Century"/>
                <w:lang w:val="tr-TR"/>
              </w:rPr>
              <w:t xml:space="preserve"> kaleminde olmuştur.</w:t>
            </w:r>
          </w:p>
          <w:p w:rsidR="006B7271" w:rsidRPr="00367FA3" w:rsidRDefault="006B7271" w:rsidP="00C96626">
            <w:pPr>
              <w:jc w:val="both"/>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Default="00D35446" w:rsidP="008D17FE">
            <w:pPr>
              <w:rPr>
                <w:rFonts w:ascii="Century" w:hAnsi="Century"/>
                <w:highlight w:val="yellow"/>
                <w:lang w:val="tr-TR"/>
              </w:rPr>
            </w:pPr>
          </w:p>
          <w:p w:rsidR="0010080F" w:rsidRPr="00367FA3" w:rsidRDefault="0010080F" w:rsidP="008D17FE">
            <w:pPr>
              <w:rPr>
                <w:rFonts w:ascii="Century" w:hAnsi="Century"/>
                <w:highlight w:val="yellow"/>
                <w:lang w:val="tr-TR"/>
              </w:rPr>
            </w:pPr>
          </w:p>
          <w:p w:rsidR="009D3FC2" w:rsidRPr="00CF3FF2" w:rsidRDefault="00FB4015" w:rsidP="00FB4015">
            <w:pPr>
              <w:jc w:val="both"/>
              <w:rPr>
                <w:rFonts w:ascii="Century" w:hAnsi="Century"/>
                <w:color w:val="404040"/>
                <w:highlight w:val="yellow"/>
                <w:lang w:val="tr-TR"/>
              </w:rPr>
            </w:pPr>
            <w:r w:rsidRPr="00CF3FF2">
              <w:rPr>
                <w:rFonts w:ascii="Century" w:hAnsi="Century"/>
                <w:color w:val="404040"/>
              </w:rPr>
              <w:t xml:space="preserve">According to the Table 1.4-4, the shareholders’ equity increased by 117% in 2005 and only 4.9% in 2006. </w:t>
            </w:r>
            <w:r w:rsidR="00F7101C" w:rsidRPr="00CF3FF2">
              <w:rPr>
                <w:rFonts w:ascii="Century" w:hAnsi="Century"/>
                <w:color w:val="404040"/>
              </w:rPr>
              <w:t xml:space="preserve">There is an increase of 36% in shareholders’ equity in 2007. </w:t>
            </w:r>
            <w:r w:rsidR="001F73F5" w:rsidRPr="00CF3FF2">
              <w:rPr>
                <w:rFonts w:ascii="Century" w:hAnsi="Century"/>
                <w:color w:val="404040"/>
              </w:rPr>
              <w:t>Main causes for this increase are growth of profit</w:t>
            </w:r>
            <w:r w:rsidR="00060FCA" w:rsidRPr="00CF3FF2">
              <w:rPr>
                <w:rFonts w:ascii="Century" w:hAnsi="Century"/>
                <w:color w:val="404040"/>
              </w:rPr>
              <w:t>-</w:t>
            </w:r>
            <w:r w:rsidR="00090A41" w:rsidRPr="00CF3FF2">
              <w:rPr>
                <w:rFonts w:ascii="Century" w:hAnsi="Century"/>
                <w:color w:val="404040"/>
              </w:rPr>
              <w:t>capital reserves</w:t>
            </w:r>
            <w:r w:rsidR="00060FCA" w:rsidRPr="00CF3FF2">
              <w:rPr>
                <w:rFonts w:ascii="Century" w:hAnsi="Century"/>
                <w:color w:val="404040"/>
              </w:rPr>
              <w:t xml:space="preserve"> and net profit</w:t>
            </w:r>
            <w:r w:rsidR="00090A41" w:rsidRPr="00CF3FF2">
              <w:rPr>
                <w:rFonts w:ascii="Century" w:hAnsi="Century"/>
                <w:color w:val="404040"/>
              </w:rPr>
              <w:t>.</w:t>
            </w:r>
          </w:p>
        </w:tc>
      </w:tr>
      <w:tr w:rsidR="0008341C" w:rsidRPr="00367FA3">
        <w:tc>
          <w:tcPr>
            <w:tcW w:w="9855" w:type="dxa"/>
            <w:gridSpan w:val="5"/>
          </w:tcPr>
          <w:p w:rsidR="0008341C" w:rsidRPr="00A427E0" w:rsidRDefault="0008341C" w:rsidP="00FB4015">
            <w:pPr>
              <w:pStyle w:val="ResimYazs"/>
              <w:jc w:val="center"/>
              <w:rPr>
                <w:rFonts w:ascii="Century" w:hAnsi="Century"/>
                <w:lang w:val="tr-TR"/>
              </w:rPr>
            </w:pPr>
            <w:bookmarkStart w:id="58" w:name="_Toc170665539"/>
            <w:r w:rsidRPr="00A427E0">
              <w:rPr>
                <w:rFonts w:ascii="Century" w:hAnsi="Century"/>
                <w:lang w:val="tr-TR"/>
              </w:rPr>
              <w:lastRenderedPageBreak/>
              <w:t xml:space="preserve">Tablo </w:t>
            </w:r>
            <w:r w:rsidRPr="00A427E0">
              <w:rPr>
                <w:rFonts w:ascii="Century" w:hAnsi="Century"/>
                <w:lang w:val="tr-TR"/>
              </w:rPr>
              <w:fldChar w:fldCharType="begin"/>
            </w:r>
            <w:r w:rsidRPr="00A427E0">
              <w:rPr>
                <w:rFonts w:ascii="Century" w:hAnsi="Century"/>
                <w:lang w:val="tr-TR"/>
              </w:rPr>
              <w:instrText xml:space="preserve"> STYLEREF 2 \s </w:instrText>
            </w:r>
            <w:r w:rsidRPr="00A427E0">
              <w:rPr>
                <w:rFonts w:ascii="Century" w:hAnsi="Century"/>
                <w:lang w:val="tr-TR"/>
              </w:rPr>
              <w:fldChar w:fldCharType="separate"/>
            </w:r>
            <w:r w:rsidR="00DA718E">
              <w:rPr>
                <w:rFonts w:ascii="Century" w:hAnsi="Century"/>
                <w:noProof/>
                <w:lang w:val="tr-TR"/>
              </w:rPr>
              <w:t>1.4</w:t>
            </w:r>
            <w:r w:rsidRPr="00A427E0">
              <w:rPr>
                <w:rFonts w:ascii="Century" w:hAnsi="Century"/>
                <w:lang w:val="tr-TR"/>
              </w:rPr>
              <w:fldChar w:fldCharType="end"/>
            </w:r>
            <w:r w:rsidRPr="00A427E0">
              <w:rPr>
                <w:rFonts w:ascii="Century" w:hAnsi="Century"/>
                <w:lang w:val="tr-TR"/>
              </w:rPr>
              <w:noBreakHyphen/>
            </w:r>
            <w:r w:rsidRPr="00A427E0">
              <w:rPr>
                <w:rFonts w:ascii="Century" w:hAnsi="Century"/>
                <w:lang w:val="tr-TR"/>
              </w:rPr>
              <w:fldChar w:fldCharType="begin"/>
            </w:r>
            <w:r w:rsidRPr="00A427E0">
              <w:rPr>
                <w:rFonts w:ascii="Century" w:hAnsi="Century"/>
                <w:lang w:val="tr-TR"/>
              </w:rPr>
              <w:instrText xml:space="preserve"> SEQ Tablo \* ARABIC \s 2 </w:instrText>
            </w:r>
            <w:r w:rsidRPr="00A427E0">
              <w:rPr>
                <w:rFonts w:ascii="Century" w:hAnsi="Century"/>
                <w:lang w:val="tr-TR"/>
              </w:rPr>
              <w:fldChar w:fldCharType="separate"/>
            </w:r>
            <w:r w:rsidR="00DA718E">
              <w:rPr>
                <w:rFonts w:ascii="Century" w:hAnsi="Century"/>
                <w:noProof/>
                <w:lang w:val="tr-TR"/>
              </w:rPr>
              <w:t>4</w:t>
            </w:r>
            <w:r w:rsidRPr="00A427E0">
              <w:rPr>
                <w:rFonts w:ascii="Century" w:hAnsi="Century"/>
                <w:lang w:val="tr-TR"/>
              </w:rPr>
              <w:fldChar w:fldCharType="end"/>
            </w:r>
            <w:r w:rsidRPr="00A427E0">
              <w:rPr>
                <w:rFonts w:ascii="Century" w:hAnsi="Century"/>
                <w:lang w:val="tr-TR"/>
              </w:rPr>
              <w:t xml:space="preserve">; </w:t>
            </w:r>
            <w:r w:rsidRPr="00A427E0">
              <w:rPr>
                <w:rFonts w:ascii="Century" w:hAnsi="Century"/>
                <w:bCs w:val="0"/>
                <w:lang w:val="tr-TR"/>
              </w:rPr>
              <w:t>Öz</w:t>
            </w:r>
            <w:r w:rsidR="00DF737E" w:rsidRPr="00A427E0">
              <w:rPr>
                <w:rFonts w:ascii="Century" w:hAnsi="Century"/>
                <w:bCs w:val="0"/>
                <w:lang w:val="tr-TR"/>
              </w:rPr>
              <w:t>sermaye</w:t>
            </w:r>
            <w:r w:rsidRPr="00A427E0">
              <w:rPr>
                <w:rFonts w:ascii="Century" w:hAnsi="Century"/>
                <w:bCs w:val="0"/>
                <w:lang w:val="tr-TR"/>
              </w:rPr>
              <w:t xml:space="preserve"> – </w:t>
            </w:r>
            <w:r w:rsidRPr="00A427E0">
              <w:rPr>
                <w:rFonts w:ascii="Century" w:hAnsi="Century"/>
                <w:b w:val="0"/>
                <w:bCs w:val="0"/>
                <w:i/>
                <w:lang w:val="tr-TR"/>
              </w:rPr>
              <w:t>Shareholders</w:t>
            </w:r>
            <w:r w:rsidR="00F66888" w:rsidRPr="00A427E0">
              <w:rPr>
                <w:rFonts w:ascii="Century" w:hAnsi="Century"/>
                <w:b w:val="0"/>
                <w:bCs w:val="0"/>
                <w:i/>
                <w:lang w:val="tr-TR"/>
              </w:rPr>
              <w:t>’</w:t>
            </w:r>
            <w:r w:rsidRPr="00A427E0">
              <w:rPr>
                <w:rFonts w:ascii="Century" w:hAnsi="Century"/>
                <w:b w:val="0"/>
                <w:bCs w:val="0"/>
                <w:i/>
                <w:lang w:val="tr-TR"/>
              </w:rPr>
              <w:t xml:space="preserve"> Equity</w:t>
            </w:r>
            <w:bookmarkEnd w:id="58"/>
          </w:p>
          <w:p w:rsidR="00F66888" w:rsidRPr="00A427E0" w:rsidRDefault="00A427E0" w:rsidP="00FB4015">
            <w:pPr>
              <w:jc w:val="center"/>
              <w:rPr>
                <w:rFonts w:ascii="Century" w:hAnsi="Century"/>
                <w:highlight w:val="yellow"/>
                <w:lang w:val="tr-TR"/>
              </w:rPr>
            </w:pPr>
            <w:r w:rsidRPr="00A427E0">
              <w:rPr>
                <w:rFonts w:ascii="Century" w:hAnsi="Century"/>
                <w:lang w:val="tr-TR"/>
              </w:rPr>
              <w:pict>
                <v:shape id="_x0000_i1054" type="#_x0000_t75" style="width:461.25pt;height:102pt">
                  <v:imagedata r:id="rId44" o:title=""/>
                </v:shape>
              </w:pict>
            </w:r>
          </w:p>
        </w:tc>
      </w:tr>
      <w:tr w:rsidR="00D35446" w:rsidRPr="00367FA3">
        <w:tc>
          <w:tcPr>
            <w:tcW w:w="4815" w:type="dxa"/>
            <w:gridSpan w:val="2"/>
          </w:tcPr>
          <w:p w:rsidR="0002634F" w:rsidRPr="00D54945" w:rsidRDefault="0002634F" w:rsidP="008D17FE">
            <w:pPr>
              <w:jc w:val="both"/>
              <w:rPr>
                <w:rFonts w:ascii="Century" w:hAnsi="Century"/>
                <w:sz w:val="20"/>
                <w:szCs w:val="20"/>
                <w:highlight w:val="yellow"/>
                <w:lang w:val="tr-TR"/>
              </w:rPr>
            </w:pPr>
          </w:p>
          <w:p w:rsidR="00904A72" w:rsidRPr="00367FA3" w:rsidRDefault="0008341C" w:rsidP="00D61B7D">
            <w:pPr>
              <w:jc w:val="both"/>
              <w:rPr>
                <w:rFonts w:ascii="Century" w:hAnsi="Century"/>
                <w:highlight w:val="yellow"/>
                <w:lang w:val="tr-TR"/>
              </w:rPr>
            </w:pPr>
            <w:r w:rsidRPr="00A427E0">
              <w:rPr>
                <w:rFonts w:ascii="Century" w:hAnsi="Century"/>
                <w:lang w:val="tr-TR"/>
              </w:rPr>
              <w:t>Sigorta</w:t>
            </w:r>
            <w:r w:rsidR="00FB4015" w:rsidRPr="00A427E0">
              <w:rPr>
                <w:rFonts w:ascii="Century" w:hAnsi="Century"/>
                <w:lang w:val="tr-TR"/>
              </w:rPr>
              <w:t>cılık</w:t>
            </w:r>
            <w:r w:rsidRPr="00A427E0">
              <w:rPr>
                <w:rFonts w:ascii="Century" w:hAnsi="Century"/>
                <w:lang w:val="tr-TR"/>
              </w:rPr>
              <w:t xml:space="preserve"> sektörü</w:t>
            </w:r>
            <w:r w:rsidR="00FB4015" w:rsidRPr="00A427E0">
              <w:rPr>
                <w:rFonts w:ascii="Century" w:hAnsi="Century"/>
                <w:lang w:val="tr-TR"/>
              </w:rPr>
              <w:t>nün</w:t>
            </w:r>
            <w:r w:rsidRPr="00A427E0">
              <w:rPr>
                <w:rFonts w:ascii="Century" w:hAnsi="Century"/>
                <w:lang w:val="tr-TR"/>
              </w:rPr>
              <w:t xml:space="preserve"> </w:t>
            </w:r>
            <w:r w:rsidR="00DF737E" w:rsidRPr="00A427E0">
              <w:rPr>
                <w:rFonts w:ascii="Century" w:hAnsi="Century"/>
                <w:lang w:val="tr-TR"/>
              </w:rPr>
              <w:t>varlık</w:t>
            </w:r>
            <w:r w:rsidR="00FB4015" w:rsidRPr="00A427E0">
              <w:rPr>
                <w:rFonts w:ascii="Century" w:hAnsi="Century"/>
                <w:lang w:val="tr-TR"/>
              </w:rPr>
              <w:t xml:space="preserve"> toplamı</w:t>
            </w:r>
            <w:r w:rsidRPr="00A427E0">
              <w:rPr>
                <w:rFonts w:ascii="Century" w:hAnsi="Century"/>
                <w:lang w:val="tr-TR"/>
              </w:rPr>
              <w:t xml:space="preserve"> yıllar itibariyle </w:t>
            </w:r>
            <w:r w:rsidR="00FB4015" w:rsidRPr="00A427E0">
              <w:rPr>
                <w:rFonts w:ascii="Century" w:hAnsi="Century"/>
                <w:lang w:val="tr-TR"/>
              </w:rPr>
              <w:t>artmakla birlikte,</w:t>
            </w:r>
            <w:r w:rsidRPr="00A427E0">
              <w:rPr>
                <w:rFonts w:ascii="Century" w:hAnsi="Century"/>
                <w:lang w:val="tr-TR"/>
              </w:rPr>
              <w:t xml:space="preserve"> bilanço karlarındaki azalış </w:t>
            </w:r>
            <w:r w:rsidR="00FB4015" w:rsidRPr="00A427E0">
              <w:rPr>
                <w:rFonts w:ascii="Century" w:hAnsi="Century"/>
                <w:lang w:val="tr-TR"/>
              </w:rPr>
              <w:t>nedeniyle</w:t>
            </w:r>
            <w:r w:rsidRPr="00A427E0">
              <w:rPr>
                <w:rFonts w:ascii="Century" w:hAnsi="Century"/>
                <w:lang w:val="tr-TR"/>
              </w:rPr>
              <w:t xml:space="preserve"> aktif karlılığı</w:t>
            </w:r>
            <w:r w:rsidR="00FB4015" w:rsidRPr="00A427E0">
              <w:rPr>
                <w:rFonts w:ascii="Century" w:hAnsi="Century"/>
                <w:lang w:val="tr-TR"/>
              </w:rPr>
              <w:t xml:space="preserve"> düşmektedir. </w:t>
            </w:r>
            <w:r w:rsidR="006B7271">
              <w:rPr>
                <w:rFonts w:ascii="Century" w:hAnsi="Century"/>
                <w:lang w:val="tr-TR"/>
              </w:rPr>
              <w:t xml:space="preserve">Ancak, </w:t>
            </w:r>
            <w:r w:rsidR="00FB4015" w:rsidRPr="00A427E0">
              <w:rPr>
                <w:rFonts w:ascii="Century" w:hAnsi="Century"/>
                <w:lang w:val="tr-TR"/>
              </w:rPr>
              <w:t>200</w:t>
            </w:r>
            <w:r w:rsidR="00A427E0" w:rsidRPr="00A427E0">
              <w:rPr>
                <w:rFonts w:ascii="Century" w:hAnsi="Century"/>
                <w:lang w:val="tr-TR"/>
              </w:rPr>
              <w:t>7</w:t>
            </w:r>
            <w:r w:rsidR="00FB4015" w:rsidRPr="00A427E0">
              <w:rPr>
                <w:rFonts w:ascii="Century" w:hAnsi="Century"/>
                <w:lang w:val="tr-TR"/>
              </w:rPr>
              <w:t xml:space="preserve"> yılında aktif karlılığı </w:t>
            </w:r>
            <w:r w:rsidR="00A427E0" w:rsidRPr="00A427E0">
              <w:rPr>
                <w:rFonts w:ascii="Century" w:hAnsi="Century"/>
                <w:lang w:val="tr-TR"/>
              </w:rPr>
              <w:t>tekrar yükseliş trendine girmiştir.</w:t>
            </w:r>
            <w:r w:rsidRPr="00A427E0">
              <w:rPr>
                <w:rFonts w:ascii="Century" w:hAnsi="Century"/>
                <w:lang w:val="tr-TR"/>
              </w:rPr>
              <w:t xml:space="preserve"> </w:t>
            </w: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D54945" w:rsidRDefault="00D35446" w:rsidP="008D17FE">
            <w:pPr>
              <w:rPr>
                <w:rFonts w:ascii="Century" w:hAnsi="Century"/>
                <w:sz w:val="20"/>
                <w:szCs w:val="20"/>
                <w:highlight w:val="yellow"/>
                <w:lang w:val="tr-TR"/>
              </w:rPr>
            </w:pPr>
          </w:p>
          <w:p w:rsidR="009D3FC2" w:rsidRPr="00CF3FF2" w:rsidRDefault="005F1A8C" w:rsidP="00C67167">
            <w:pPr>
              <w:jc w:val="both"/>
              <w:rPr>
                <w:rFonts w:ascii="Century" w:hAnsi="Century"/>
                <w:color w:val="404040"/>
              </w:rPr>
            </w:pPr>
            <w:r w:rsidRPr="00CF3FF2">
              <w:rPr>
                <w:rFonts w:ascii="Century" w:hAnsi="Century"/>
                <w:color w:val="404040"/>
              </w:rPr>
              <w:t xml:space="preserve">While there has been an increase in total assets in insurance sectors in the preceding years, return on assets slows down because of decrease in </w:t>
            </w:r>
            <w:r w:rsidR="00FB4015" w:rsidRPr="00CF3FF2">
              <w:rPr>
                <w:rFonts w:ascii="Century" w:hAnsi="Century"/>
                <w:color w:val="404040"/>
              </w:rPr>
              <w:t xml:space="preserve">profitability. </w:t>
            </w:r>
            <w:r w:rsidR="006B7271" w:rsidRPr="00CF3FF2">
              <w:rPr>
                <w:rFonts w:ascii="Century" w:hAnsi="Century"/>
                <w:color w:val="404040"/>
              </w:rPr>
              <w:t xml:space="preserve">However, </w:t>
            </w:r>
            <w:r w:rsidR="006A0D4E" w:rsidRPr="00CF3FF2">
              <w:rPr>
                <w:rFonts w:ascii="Century" w:hAnsi="Century"/>
                <w:color w:val="404040"/>
              </w:rPr>
              <w:t>insurance market repaired its positive trend for return on assets</w:t>
            </w:r>
            <w:r w:rsidR="006B7271" w:rsidRPr="00CF3FF2">
              <w:rPr>
                <w:rFonts w:ascii="Century" w:hAnsi="Century"/>
                <w:color w:val="404040"/>
              </w:rPr>
              <w:t xml:space="preserve"> </w:t>
            </w:r>
            <w:r w:rsidR="00FB4015" w:rsidRPr="00CF3FF2">
              <w:rPr>
                <w:rFonts w:ascii="Century" w:hAnsi="Century"/>
                <w:color w:val="404040"/>
              </w:rPr>
              <w:t>in 200</w:t>
            </w:r>
            <w:r w:rsidR="006B7271" w:rsidRPr="00CF3FF2">
              <w:rPr>
                <w:rFonts w:ascii="Century" w:hAnsi="Century"/>
                <w:color w:val="404040"/>
              </w:rPr>
              <w:t>7.</w:t>
            </w:r>
            <w:r w:rsidR="00FB4015" w:rsidRPr="00CF3FF2">
              <w:rPr>
                <w:rFonts w:ascii="Century" w:hAnsi="Century"/>
                <w:color w:val="404040"/>
              </w:rPr>
              <w:t xml:space="preserve"> </w:t>
            </w:r>
          </w:p>
          <w:p w:rsidR="00D54945" w:rsidRPr="00D54945" w:rsidRDefault="00D54945" w:rsidP="00C67167">
            <w:pPr>
              <w:jc w:val="both"/>
              <w:rPr>
                <w:rFonts w:ascii="Century" w:hAnsi="Century"/>
                <w:color w:val="1C1C1C"/>
                <w:sz w:val="16"/>
                <w:szCs w:val="16"/>
                <w:highlight w:val="yellow"/>
              </w:rPr>
            </w:pPr>
          </w:p>
        </w:tc>
      </w:tr>
      <w:tr w:rsidR="0008341C" w:rsidRPr="00367FA3">
        <w:tc>
          <w:tcPr>
            <w:tcW w:w="9855" w:type="dxa"/>
            <w:gridSpan w:val="5"/>
          </w:tcPr>
          <w:p w:rsidR="0008341C" w:rsidRPr="00B764E5" w:rsidRDefault="0008341C" w:rsidP="00FB4015">
            <w:pPr>
              <w:pStyle w:val="ResimYazs"/>
              <w:jc w:val="center"/>
              <w:rPr>
                <w:rFonts w:ascii="Century" w:hAnsi="Century"/>
                <w:b w:val="0"/>
                <w:i/>
                <w:lang w:val="tr-TR"/>
              </w:rPr>
            </w:pPr>
            <w:bookmarkStart w:id="59" w:name="_Toc170278159"/>
            <w:bookmarkStart w:id="60" w:name="_Toc170665583"/>
            <w:r w:rsidRPr="00B764E5">
              <w:rPr>
                <w:rFonts w:ascii="Century" w:hAnsi="Century"/>
                <w:lang w:val="tr-TR"/>
              </w:rPr>
              <w:t xml:space="preserve">Grafik </w:t>
            </w:r>
            <w:r w:rsidRPr="00B764E5">
              <w:rPr>
                <w:rFonts w:ascii="Century" w:hAnsi="Century"/>
                <w:lang w:val="tr-TR"/>
              </w:rPr>
              <w:fldChar w:fldCharType="begin"/>
            </w:r>
            <w:r w:rsidRPr="00B764E5">
              <w:rPr>
                <w:rFonts w:ascii="Century" w:hAnsi="Century"/>
                <w:lang w:val="tr-TR"/>
              </w:rPr>
              <w:instrText xml:space="preserve"> STYLEREF 2 \s </w:instrText>
            </w:r>
            <w:r w:rsidRPr="00B764E5">
              <w:rPr>
                <w:rFonts w:ascii="Century" w:hAnsi="Century"/>
                <w:lang w:val="tr-TR"/>
              </w:rPr>
              <w:fldChar w:fldCharType="separate"/>
            </w:r>
            <w:r w:rsidR="00DA718E">
              <w:rPr>
                <w:rFonts w:ascii="Century" w:hAnsi="Century"/>
                <w:noProof/>
                <w:lang w:val="tr-TR"/>
              </w:rPr>
              <w:t>1.4</w:t>
            </w:r>
            <w:r w:rsidRPr="00B764E5">
              <w:rPr>
                <w:rFonts w:ascii="Century" w:hAnsi="Century"/>
                <w:lang w:val="tr-TR"/>
              </w:rPr>
              <w:fldChar w:fldCharType="end"/>
            </w:r>
            <w:r w:rsidRPr="00B764E5">
              <w:rPr>
                <w:rFonts w:ascii="Century" w:hAnsi="Century"/>
                <w:lang w:val="tr-TR"/>
              </w:rPr>
              <w:noBreakHyphen/>
            </w:r>
            <w:r w:rsidRPr="00B764E5">
              <w:rPr>
                <w:rFonts w:ascii="Century" w:hAnsi="Century"/>
                <w:lang w:val="tr-TR"/>
              </w:rPr>
              <w:fldChar w:fldCharType="begin"/>
            </w:r>
            <w:r w:rsidRPr="00B764E5">
              <w:rPr>
                <w:rFonts w:ascii="Century" w:hAnsi="Century"/>
                <w:lang w:val="tr-TR"/>
              </w:rPr>
              <w:instrText xml:space="preserve"> SEQ Grafik \* ARABIC \s 2 </w:instrText>
            </w:r>
            <w:r w:rsidRPr="00B764E5">
              <w:rPr>
                <w:rFonts w:ascii="Century" w:hAnsi="Century"/>
                <w:lang w:val="tr-TR"/>
              </w:rPr>
              <w:fldChar w:fldCharType="separate"/>
            </w:r>
            <w:r w:rsidR="00DA718E">
              <w:rPr>
                <w:rFonts w:ascii="Century" w:hAnsi="Century"/>
                <w:noProof/>
                <w:lang w:val="tr-TR"/>
              </w:rPr>
              <w:t>3</w:t>
            </w:r>
            <w:r w:rsidRPr="00B764E5">
              <w:rPr>
                <w:rFonts w:ascii="Century" w:hAnsi="Century"/>
                <w:lang w:val="tr-TR"/>
              </w:rPr>
              <w:fldChar w:fldCharType="end"/>
            </w:r>
            <w:r w:rsidRPr="00B764E5">
              <w:rPr>
                <w:rFonts w:ascii="Century" w:hAnsi="Century"/>
                <w:lang w:val="tr-TR"/>
              </w:rPr>
              <w:t xml:space="preserve">; Aktif Karlılığı; </w:t>
            </w:r>
            <w:r w:rsidRPr="00B764E5">
              <w:rPr>
                <w:rFonts w:ascii="Century" w:hAnsi="Century"/>
                <w:b w:val="0"/>
                <w:i/>
                <w:lang w:val="tr-TR"/>
              </w:rPr>
              <w:t>Return on Assets</w:t>
            </w:r>
            <w:bookmarkEnd w:id="59"/>
            <w:bookmarkEnd w:id="60"/>
          </w:p>
          <w:p w:rsidR="0008341C" w:rsidRPr="00B764E5" w:rsidRDefault="00D54945" w:rsidP="00FB4015">
            <w:pPr>
              <w:jc w:val="center"/>
              <w:rPr>
                <w:rFonts w:ascii="Century" w:hAnsi="Century"/>
                <w:highlight w:val="yellow"/>
                <w:lang w:val="tr-TR"/>
              </w:rPr>
            </w:pPr>
            <w:r w:rsidRPr="00B764E5">
              <w:rPr>
                <w:rFonts w:ascii="Century" w:hAnsi="Century"/>
                <w:lang w:val="tr-TR"/>
              </w:rPr>
              <w:pict>
                <v:shape id="_x0000_i1055" type="#_x0000_t75" style="width:314.25pt;height:140.25pt">
                  <v:imagedata r:id="rId45" o:title=""/>
                </v:shape>
              </w:pict>
            </w:r>
          </w:p>
        </w:tc>
      </w:tr>
      <w:tr w:rsidR="00D35446" w:rsidRPr="00367FA3">
        <w:tc>
          <w:tcPr>
            <w:tcW w:w="4815" w:type="dxa"/>
            <w:gridSpan w:val="2"/>
          </w:tcPr>
          <w:p w:rsidR="0027174C" w:rsidRDefault="0008341C" w:rsidP="008D17FE">
            <w:pPr>
              <w:jc w:val="both"/>
              <w:rPr>
                <w:rFonts w:ascii="Century" w:hAnsi="Century"/>
                <w:lang w:val="tr-TR"/>
              </w:rPr>
            </w:pPr>
            <w:r w:rsidRPr="00C67167">
              <w:rPr>
                <w:rFonts w:ascii="Century" w:hAnsi="Century"/>
                <w:lang w:val="tr-TR"/>
              </w:rPr>
              <w:t>2005 ve 2006 yıllarında, dönem karlarında</w:t>
            </w:r>
            <w:r w:rsidR="0027174C" w:rsidRPr="00C67167">
              <w:rPr>
                <w:rFonts w:ascii="Century" w:hAnsi="Century"/>
                <w:lang w:val="tr-TR"/>
              </w:rPr>
              <w:t xml:space="preserve"> yaşanan düşme</w:t>
            </w:r>
            <w:r w:rsidR="00BC1014">
              <w:rPr>
                <w:rFonts w:ascii="Century" w:hAnsi="Century"/>
                <w:lang w:val="tr-TR"/>
              </w:rPr>
              <w:t>nin yanı sıra</w:t>
            </w:r>
            <w:r w:rsidR="0027174C" w:rsidRPr="00C67167">
              <w:rPr>
                <w:rFonts w:ascii="Century" w:hAnsi="Century"/>
                <w:lang w:val="tr-TR"/>
              </w:rPr>
              <w:t xml:space="preserve"> </w:t>
            </w:r>
            <w:r w:rsidRPr="00C67167">
              <w:rPr>
                <w:rFonts w:ascii="Century" w:hAnsi="Century"/>
                <w:lang w:val="tr-TR"/>
              </w:rPr>
              <w:t xml:space="preserve"> enflasyon düzeltmesi </w:t>
            </w:r>
            <w:r w:rsidR="0027174C" w:rsidRPr="00C67167">
              <w:rPr>
                <w:rFonts w:ascii="Century" w:hAnsi="Century"/>
                <w:lang w:val="tr-TR"/>
              </w:rPr>
              <w:t xml:space="preserve">nedeniyle </w:t>
            </w:r>
            <w:r w:rsidRPr="00C67167">
              <w:rPr>
                <w:rFonts w:ascii="Century" w:hAnsi="Century"/>
                <w:lang w:val="tr-TR"/>
              </w:rPr>
              <w:t xml:space="preserve"> öz</w:t>
            </w:r>
            <w:r w:rsidR="00DF737E" w:rsidRPr="00C67167">
              <w:rPr>
                <w:rFonts w:ascii="Century" w:hAnsi="Century"/>
                <w:lang w:val="tr-TR"/>
              </w:rPr>
              <w:t>sermaye</w:t>
            </w:r>
            <w:r w:rsidR="00FB4015" w:rsidRPr="00C67167">
              <w:rPr>
                <w:rFonts w:ascii="Century" w:hAnsi="Century"/>
                <w:lang w:val="tr-TR"/>
              </w:rPr>
              <w:t>de</w:t>
            </w:r>
            <w:r w:rsidRPr="00C67167">
              <w:rPr>
                <w:rFonts w:ascii="Century" w:hAnsi="Century"/>
                <w:lang w:val="tr-TR"/>
              </w:rPr>
              <w:t xml:space="preserve"> </w:t>
            </w:r>
            <w:r w:rsidR="0027174C" w:rsidRPr="00C67167">
              <w:rPr>
                <w:rFonts w:ascii="Century" w:hAnsi="Century"/>
                <w:lang w:val="tr-TR"/>
              </w:rPr>
              <w:t xml:space="preserve">ortaya çıkan yüksek oranlı </w:t>
            </w:r>
            <w:r w:rsidRPr="00C67167">
              <w:rPr>
                <w:rFonts w:ascii="Century" w:hAnsi="Century"/>
                <w:lang w:val="tr-TR"/>
              </w:rPr>
              <w:t xml:space="preserve"> artış öz</w:t>
            </w:r>
            <w:r w:rsidR="00DF737E" w:rsidRPr="00C67167">
              <w:rPr>
                <w:rFonts w:ascii="Century" w:hAnsi="Century"/>
                <w:lang w:val="tr-TR"/>
              </w:rPr>
              <w:t>sermaye</w:t>
            </w:r>
            <w:r w:rsidRPr="00C67167">
              <w:rPr>
                <w:rFonts w:ascii="Century" w:hAnsi="Century"/>
                <w:lang w:val="tr-TR"/>
              </w:rPr>
              <w:t xml:space="preserve"> karlılığının </w:t>
            </w:r>
            <w:r w:rsidR="0027174C" w:rsidRPr="007E4E23">
              <w:rPr>
                <w:rFonts w:ascii="Century" w:hAnsi="Century"/>
                <w:lang w:val="tr-TR"/>
              </w:rPr>
              <w:t xml:space="preserve">daha </w:t>
            </w:r>
            <w:r w:rsidR="00154812">
              <w:rPr>
                <w:rFonts w:ascii="Century" w:hAnsi="Century"/>
                <w:lang w:val="tr-TR"/>
              </w:rPr>
              <w:t>hızlı</w:t>
            </w:r>
            <w:r w:rsidR="0027174C" w:rsidRPr="00C67167">
              <w:rPr>
                <w:rFonts w:ascii="Century" w:hAnsi="Century"/>
                <w:lang w:val="tr-TR"/>
              </w:rPr>
              <w:t xml:space="preserve"> düşmesine neden</w:t>
            </w:r>
            <w:r w:rsidRPr="00C67167">
              <w:rPr>
                <w:rFonts w:ascii="Century" w:hAnsi="Century"/>
                <w:lang w:val="tr-TR"/>
              </w:rPr>
              <w:t xml:space="preserve"> olmuş</w:t>
            </w:r>
            <w:r w:rsidR="00C67167">
              <w:rPr>
                <w:rFonts w:ascii="Century" w:hAnsi="Century"/>
                <w:lang w:val="tr-TR"/>
              </w:rPr>
              <w:t>tur. A</w:t>
            </w:r>
            <w:r w:rsidR="00C67167" w:rsidRPr="00C67167">
              <w:rPr>
                <w:rFonts w:ascii="Century" w:hAnsi="Century"/>
                <w:lang w:val="tr-TR"/>
              </w:rPr>
              <w:t>ncak</w:t>
            </w:r>
            <w:r w:rsidR="00C67167">
              <w:rPr>
                <w:rFonts w:ascii="Century" w:hAnsi="Century"/>
                <w:lang w:val="tr-TR"/>
              </w:rPr>
              <w:t>,</w:t>
            </w:r>
            <w:r w:rsidR="00C67167" w:rsidRPr="00C67167">
              <w:rPr>
                <w:rFonts w:ascii="Century" w:hAnsi="Century"/>
                <w:lang w:val="tr-TR"/>
              </w:rPr>
              <w:t xml:space="preserve"> 2007 yılında</w:t>
            </w:r>
            <w:r w:rsidR="00C67167">
              <w:rPr>
                <w:rFonts w:ascii="Century" w:hAnsi="Century"/>
                <w:lang w:val="tr-TR"/>
              </w:rPr>
              <w:t xml:space="preserve"> dönem karının önemli ölçüde artması</w:t>
            </w:r>
            <w:r w:rsidR="00C67167" w:rsidRPr="00C67167">
              <w:rPr>
                <w:rFonts w:ascii="Century" w:hAnsi="Century"/>
                <w:lang w:val="tr-TR"/>
              </w:rPr>
              <w:t xml:space="preserve"> özsermaye karlılığın</w:t>
            </w:r>
            <w:r w:rsidR="00C67167">
              <w:rPr>
                <w:rFonts w:ascii="Century" w:hAnsi="Century"/>
                <w:lang w:val="tr-TR"/>
              </w:rPr>
              <w:t xml:space="preserve">ı </w:t>
            </w:r>
            <w:r w:rsidR="00C67167" w:rsidRPr="00C67167">
              <w:rPr>
                <w:rFonts w:ascii="Century" w:hAnsi="Century"/>
                <w:lang w:val="tr-TR"/>
              </w:rPr>
              <w:t>da art</w:t>
            </w:r>
            <w:r w:rsidR="00C67167">
              <w:rPr>
                <w:rFonts w:ascii="Century" w:hAnsi="Century"/>
                <w:lang w:val="tr-TR"/>
              </w:rPr>
              <w:t>tırmıştır.</w:t>
            </w:r>
          </w:p>
          <w:p w:rsidR="006B7271" w:rsidRPr="006B7271" w:rsidRDefault="006B7271" w:rsidP="008D17FE">
            <w:pPr>
              <w:jc w:val="both"/>
              <w:rPr>
                <w:rFonts w:ascii="Century" w:hAnsi="Century"/>
                <w:sz w:val="20"/>
                <w:szCs w:val="20"/>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CF3FF2" w:rsidRDefault="007E4E23" w:rsidP="005F1A8C">
            <w:pPr>
              <w:jc w:val="both"/>
              <w:rPr>
                <w:rFonts w:ascii="Century" w:hAnsi="Century"/>
                <w:color w:val="404040"/>
                <w:highlight w:val="yellow"/>
                <w:lang w:val="tr-TR"/>
              </w:rPr>
            </w:pPr>
            <w:r w:rsidRPr="00CF3FF2">
              <w:rPr>
                <w:rFonts w:ascii="Century" w:hAnsi="Century"/>
                <w:color w:val="404040"/>
              </w:rPr>
              <w:t>In addition to</w:t>
            </w:r>
            <w:r w:rsidR="005F1A8C" w:rsidRPr="00CF3FF2">
              <w:rPr>
                <w:rFonts w:ascii="Century" w:hAnsi="Century"/>
                <w:color w:val="404040"/>
              </w:rPr>
              <w:t xml:space="preserve"> decrease in profitability</w:t>
            </w:r>
            <w:r w:rsidRPr="00CF3FF2">
              <w:rPr>
                <w:rFonts w:ascii="Century" w:hAnsi="Century"/>
                <w:color w:val="404040"/>
              </w:rPr>
              <w:t>,</w:t>
            </w:r>
            <w:r w:rsidR="00FB4015" w:rsidRPr="00CF3FF2">
              <w:rPr>
                <w:rFonts w:ascii="Century" w:hAnsi="Century"/>
                <w:color w:val="404040"/>
              </w:rPr>
              <w:t xml:space="preserve"> </w:t>
            </w:r>
            <w:r w:rsidR="005F1A8C" w:rsidRPr="00CF3FF2">
              <w:rPr>
                <w:rFonts w:ascii="Century" w:hAnsi="Century"/>
                <w:color w:val="404040"/>
              </w:rPr>
              <w:t xml:space="preserve">rapid increase in equity </w:t>
            </w:r>
            <w:r w:rsidR="0081698C" w:rsidRPr="00CF3FF2">
              <w:rPr>
                <w:rFonts w:ascii="Century" w:hAnsi="Century"/>
                <w:color w:val="404040"/>
              </w:rPr>
              <w:t>resulting from</w:t>
            </w:r>
            <w:r w:rsidR="005F1A8C" w:rsidRPr="00CF3FF2">
              <w:rPr>
                <w:rFonts w:ascii="Century" w:hAnsi="Century"/>
                <w:color w:val="404040"/>
              </w:rPr>
              <w:t xml:space="preserve"> inflation adjustment, </w:t>
            </w:r>
            <w:r w:rsidR="007324F1" w:rsidRPr="00CF3FF2">
              <w:rPr>
                <w:rFonts w:ascii="Century" w:hAnsi="Century"/>
                <w:color w:val="404040"/>
              </w:rPr>
              <w:t xml:space="preserve">triggered </w:t>
            </w:r>
            <w:r w:rsidR="005F1A8C" w:rsidRPr="00CF3FF2">
              <w:rPr>
                <w:rFonts w:ascii="Century" w:hAnsi="Century"/>
                <w:color w:val="404040"/>
              </w:rPr>
              <w:t xml:space="preserve">return on equity </w:t>
            </w:r>
            <w:r w:rsidR="007324F1" w:rsidRPr="00CF3FF2">
              <w:rPr>
                <w:rFonts w:ascii="Century" w:hAnsi="Century"/>
                <w:color w:val="404040"/>
              </w:rPr>
              <w:t>to decrease</w:t>
            </w:r>
            <w:r w:rsidR="005F1A8C" w:rsidRPr="00CF3FF2">
              <w:rPr>
                <w:rFonts w:ascii="Century" w:hAnsi="Century"/>
                <w:color w:val="404040"/>
              </w:rPr>
              <w:t xml:space="preserve"> </w:t>
            </w:r>
            <w:r w:rsidR="007324F1" w:rsidRPr="00CF3FF2">
              <w:rPr>
                <w:rFonts w:ascii="Century" w:hAnsi="Century"/>
                <w:color w:val="404040"/>
              </w:rPr>
              <w:t xml:space="preserve">faster than those of </w:t>
            </w:r>
            <w:r w:rsidR="005F1A8C" w:rsidRPr="00CF3FF2">
              <w:rPr>
                <w:rFonts w:ascii="Century" w:hAnsi="Century"/>
                <w:color w:val="404040"/>
              </w:rPr>
              <w:t>preceding years.</w:t>
            </w:r>
          </w:p>
        </w:tc>
      </w:tr>
      <w:tr w:rsidR="0008341C" w:rsidRPr="00367FA3">
        <w:tc>
          <w:tcPr>
            <w:tcW w:w="9855" w:type="dxa"/>
            <w:gridSpan w:val="5"/>
          </w:tcPr>
          <w:p w:rsidR="00CD6E9E" w:rsidRPr="00F264F4" w:rsidRDefault="00CD6E9E" w:rsidP="00FB4015">
            <w:pPr>
              <w:pStyle w:val="ResimYazs"/>
              <w:jc w:val="center"/>
              <w:rPr>
                <w:rFonts w:ascii="Century" w:hAnsi="Century"/>
                <w:b w:val="0"/>
                <w:i/>
                <w:lang w:val="tr-TR"/>
              </w:rPr>
            </w:pPr>
            <w:bookmarkStart w:id="61" w:name="_Toc170278160"/>
            <w:bookmarkStart w:id="62" w:name="_Toc170665584"/>
            <w:r w:rsidRPr="00F264F4">
              <w:rPr>
                <w:rFonts w:ascii="Century" w:hAnsi="Century"/>
                <w:lang w:val="tr-TR"/>
              </w:rPr>
              <w:t xml:space="preserve">Grafik </w:t>
            </w:r>
            <w:r w:rsidRPr="00F264F4">
              <w:rPr>
                <w:rFonts w:ascii="Century" w:hAnsi="Century"/>
                <w:lang w:val="tr-TR"/>
              </w:rPr>
              <w:fldChar w:fldCharType="begin"/>
            </w:r>
            <w:r w:rsidRPr="00F264F4">
              <w:rPr>
                <w:rFonts w:ascii="Century" w:hAnsi="Century"/>
                <w:lang w:val="tr-TR"/>
              </w:rPr>
              <w:instrText xml:space="preserve"> STYLEREF 2 \s </w:instrText>
            </w:r>
            <w:r w:rsidRPr="00F264F4">
              <w:rPr>
                <w:rFonts w:ascii="Century" w:hAnsi="Century"/>
                <w:lang w:val="tr-TR"/>
              </w:rPr>
              <w:fldChar w:fldCharType="separate"/>
            </w:r>
            <w:r w:rsidR="00DA718E">
              <w:rPr>
                <w:rFonts w:ascii="Century" w:hAnsi="Century"/>
                <w:noProof/>
                <w:lang w:val="tr-TR"/>
              </w:rPr>
              <w:t>1.4</w:t>
            </w:r>
            <w:r w:rsidRPr="00F264F4">
              <w:rPr>
                <w:rFonts w:ascii="Century" w:hAnsi="Century"/>
                <w:lang w:val="tr-TR"/>
              </w:rPr>
              <w:fldChar w:fldCharType="end"/>
            </w:r>
            <w:r w:rsidRPr="00F264F4">
              <w:rPr>
                <w:rFonts w:ascii="Century" w:hAnsi="Century"/>
                <w:lang w:val="tr-TR"/>
              </w:rPr>
              <w:noBreakHyphen/>
            </w:r>
            <w:r w:rsidRPr="00F264F4">
              <w:rPr>
                <w:rFonts w:ascii="Century" w:hAnsi="Century"/>
                <w:lang w:val="tr-TR"/>
              </w:rPr>
              <w:fldChar w:fldCharType="begin"/>
            </w:r>
            <w:r w:rsidRPr="00F264F4">
              <w:rPr>
                <w:rFonts w:ascii="Century" w:hAnsi="Century"/>
                <w:lang w:val="tr-TR"/>
              </w:rPr>
              <w:instrText xml:space="preserve"> SEQ Grafik \* ARABIC \s 2 </w:instrText>
            </w:r>
            <w:r w:rsidRPr="00F264F4">
              <w:rPr>
                <w:rFonts w:ascii="Century" w:hAnsi="Century"/>
                <w:lang w:val="tr-TR"/>
              </w:rPr>
              <w:fldChar w:fldCharType="separate"/>
            </w:r>
            <w:r w:rsidR="00DA718E">
              <w:rPr>
                <w:rFonts w:ascii="Century" w:hAnsi="Century"/>
                <w:noProof/>
                <w:lang w:val="tr-TR"/>
              </w:rPr>
              <w:t>4</w:t>
            </w:r>
            <w:r w:rsidRPr="00F264F4">
              <w:rPr>
                <w:rFonts w:ascii="Century" w:hAnsi="Century"/>
                <w:lang w:val="tr-TR"/>
              </w:rPr>
              <w:fldChar w:fldCharType="end"/>
            </w:r>
            <w:r w:rsidRPr="00F264F4">
              <w:rPr>
                <w:rFonts w:ascii="Century" w:hAnsi="Century"/>
                <w:lang w:val="tr-TR"/>
              </w:rPr>
              <w:t>; Öz</w:t>
            </w:r>
            <w:r w:rsidR="00DF737E" w:rsidRPr="00F264F4">
              <w:rPr>
                <w:rFonts w:ascii="Century" w:hAnsi="Century"/>
                <w:lang w:val="tr-TR"/>
              </w:rPr>
              <w:t>sermaye</w:t>
            </w:r>
            <w:r w:rsidRPr="00F264F4">
              <w:rPr>
                <w:rFonts w:ascii="Century" w:hAnsi="Century"/>
                <w:lang w:val="tr-TR"/>
              </w:rPr>
              <w:t xml:space="preserve"> Karlılığı – </w:t>
            </w:r>
            <w:r w:rsidRPr="00F264F4">
              <w:rPr>
                <w:rFonts w:ascii="Century" w:hAnsi="Century"/>
                <w:b w:val="0"/>
                <w:i/>
                <w:lang w:val="tr-TR"/>
              </w:rPr>
              <w:t>Return on Equity</w:t>
            </w:r>
            <w:bookmarkEnd w:id="61"/>
            <w:bookmarkEnd w:id="62"/>
          </w:p>
          <w:p w:rsidR="00F264F4" w:rsidRDefault="00F264F4" w:rsidP="00BC1014">
            <w:pPr>
              <w:jc w:val="center"/>
              <w:rPr>
                <w:rFonts w:ascii="Century" w:hAnsi="Century"/>
                <w:sz w:val="20"/>
                <w:szCs w:val="20"/>
                <w:lang w:val="tr-TR"/>
              </w:rPr>
            </w:pPr>
            <w:r w:rsidRPr="00F264F4">
              <w:rPr>
                <w:rFonts w:ascii="Century" w:hAnsi="Century"/>
                <w:sz w:val="20"/>
                <w:szCs w:val="20"/>
                <w:lang w:val="tr-TR"/>
              </w:rPr>
              <w:pict>
                <v:shape id="_x0000_i1056" type="#_x0000_t75" style="width:320.25pt;height:138.75pt">
                  <v:imagedata r:id="rId46" o:title=""/>
                </v:shape>
              </w:pict>
            </w:r>
          </w:p>
          <w:p w:rsidR="00EE7F22" w:rsidRPr="00BC1014" w:rsidRDefault="00EE7F22" w:rsidP="00BC1014">
            <w:pPr>
              <w:jc w:val="center"/>
              <w:rPr>
                <w:rFonts w:ascii="Century" w:hAnsi="Century"/>
                <w:sz w:val="20"/>
                <w:szCs w:val="20"/>
                <w:highlight w:val="yellow"/>
                <w:lang w:val="tr-TR"/>
              </w:rPr>
            </w:pPr>
          </w:p>
        </w:tc>
      </w:tr>
      <w:tr w:rsidR="00D35446" w:rsidRPr="00367FA3">
        <w:tc>
          <w:tcPr>
            <w:tcW w:w="4815" w:type="dxa"/>
            <w:gridSpan w:val="2"/>
          </w:tcPr>
          <w:p w:rsidR="00CD6E9E" w:rsidRPr="00810BB9" w:rsidRDefault="00BD09A7" w:rsidP="004443B5">
            <w:pPr>
              <w:pStyle w:val="Balk4"/>
              <w:keepNext w:val="0"/>
              <w:numPr>
                <w:ilvl w:val="0"/>
                <w:numId w:val="11"/>
              </w:numPr>
              <w:spacing w:before="0" w:after="0"/>
              <w:rPr>
                <w:rFonts w:ascii="Century" w:hAnsi="Century"/>
                <w:sz w:val="24"/>
                <w:szCs w:val="24"/>
                <w:lang w:val="tr-TR"/>
              </w:rPr>
            </w:pPr>
            <w:bookmarkStart w:id="63" w:name="_Toc198287699"/>
            <w:bookmarkStart w:id="64" w:name="_Toc199251246"/>
            <w:r w:rsidRPr="00810BB9">
              <w:rPr>
                <w:rFonts w:ascii="Century" w:hAnsi="Century"/>
                <w:sz w:val="24"/>
                <w:szCs w:val="24"/>
                <w:lang w:val="tr-TR"/>
              </w:rPr>
              <w:lastRenderedPageBreak/>
              <w:t>Varlıklar</w:t>
            </w:r>
            <w:bookmarkEnd w:id="63"/>
            <w:bookmarkEnd w:id="64"/>
          </w:p>
          <w:p w:rsidR="00CD6E9E" w:rsidRPr="00810BB9" w:rsidRDefault="00CD6E9E" w:rsidP="00D61B7D">
            <w:pPr>
              <w:jc w:val="both"/>
              <w:rPr>
                <w:rFonts w:ascii="Century" w:hAnsi="Century"/>
                <w:lang w:val="tr-TR"/>
              </w:rPr>
            </w:pPr>
          </w:p>
          <w:p w:rsidR="00CD6E9E" w:rsidRPr="00810BB9" w:rsidRDefault="00810BB9" w:rsidP="008D17FE">
            <w:pPr>
              <w:jc w:val="both"/>
              <w:rPr>
                <w:rFonts w:ascii="Century" w:hAnsi="Century"/>
                <w:lang w:val="tr-TR"/>
              </w:rPr>
            </w:pPr>
            <w:r w:rsidRPr="00810BB9">
              <w:rPr>
                <w:rFonts w:ascii="Century" w:hAnsi="Century"/>
                <w:lang w:val="tr-TR"/>
              </w:rPr>
              <w:t>31.12.2007</w:t>
            </w:r>
            <w:r w:rsidR="00CD6E9E" w:rsidRPr="00810BB9">
              <w:rPr>
                <w:rFonts w:ascii="Century" w:hAnsi="Century"/>
                <w:lang w:val="tr-TR"/>
              </w:rPr>
              <w:t xml:space="preserve"> tarihi itibariyle, sigorta</w:t>
            </w:r>
            <w:r w:rsidR="00FB4015" w:rsidRPr="00810BB9">
              <w:rPr>
                <w:rFonts w:ascii="Century" w:hAnsi="Century"/>
                <w:lang w:val="tr-TR"/>
              </w:rPr>
              <w:t>cılık</w:t>
            </w:r>
            <w:r w:rsidR="00CD6E9E" w:rsidRPr="00810BB9">
              <w:rPr>
                <w:rFonts w:ascii="Century" w:hAnsi="Century"/>
                <w:lang w:val="tr-TR"/>
              </w:rPr>
              <w:t xml:space="preserve"> ve bireysel emeklilik sektörü</w:t>
            </w:r>
            <w:r w:rsidR="00FB4015" w:rsidRPr="00810BB9">
              <w:rPr>
                <w:rFonts w:ascii="Century" w:hAnsi="Century"/>
                <w:lang w:val="tr-TR"/>
              </w:rPr>
              <w:t>ndeki</w:t>
            </w:r>
            <w:r w:rsidR="00CD6E9E" w:rsidRPr="00810BB9">
              <w:rPr>
                <w:rFonts w:ascii="Century" w:hAnsi="Century"/>
                <w:lang w:val="tr-TR"/>
              </w:rPr>
              <w:t xml:space="preserve"> </w:t>
            </w:r>
            <w:r w:rsidR="009E5A95" w:rsidRPr="00810BB9">
              <w:rPr>
                <w:rFonts w:ascii="Century" w:hAnsi="Century"/>
                <w:lang w:val="tr-TR"/>
              </w:rPr>
              <w:t>varlık</w:t>
            </w:r>
            <w:r w:rsidR="00CD6E9E" w:rsidRPr="00810BB9">
              <w:rPr>
                <w:rFonts w:ascii="Century" w:hAnsi="Century"/>
                <w:lang w:val="tr-TR"/>
              </w:rPr>
              <w:t xml:space="preserve"> toplamının %49’unu hayat dışı sigorta şirketleri, %4</w:t>
            </w:r>
            <w:r w:rsidRPr="00810BB9">
              <w:rPr>
                <w:rFonts w:ascii="Century" w:hAnsi="Century"/>
                <w:lang w:val="tr-TR"/>
              </w:rPr>
              <w:t>1</w:t>
            </w:r>
            <w:r w:rsidR="00CD6E9E" w:rsidRPr="00810BB9">
              <w:rPr>
                <w:rFonts w:ascii="Century" w:hAnsi="Century"/>
                <w:lang w:val="tr-TR"/>
              </w:rPr>
              <w:t>’ini hayat</w:t>
            </w:r>
            <w:r w:rsidR="00FB4015" w:rsidRPr="00810BB9">
              <w:rPr>
                <w:rFonts w:ascii="Century" w:hAnsi="Century"/>
                <w:lang w:val="tr-TR"/>
              </w:rPr>
              <w:t>/</w:t>
            </w:r>
            <w:r w:rsidR="00CD6E9E" w:rsidRPr="00810BB9">
              <w:rPr>
                <w:rFonts w:ascii="Century" w:hAnsi="Century"/>
                <w:lang w:val="tr-TR"/>
              </w:rPr>
              <w:t xml:space="preserve">emeklilik şirketleri, </w:t>
            </w:r>
            <w:r w:rsidR="004B0647">
              <w:rPr>
                <w:rFonts w:ascii="Century" w:hAnsi="Century"/>
                <w:lang w:val="tr-TR"/>
              </w:rPr>
              <w:t>%</w:t>
            </w:r>
            <w:r w:rsidRPr="00810BB9">
              <w:rPr>
                <w:rFonts w:ascii="Century" w:hAnsi="Century"/>
                <w:lang w:val="tr-TR"/>
              </w:rPr>
              <w:t>5’ini hayat sigorta şirketleri</w:t>
            </w:r>
            <w:r w:rsidR="004B0647">
              <w:rPr>
                <w:rFonts w:ascii="Century" w:hAnsi="Century"/>
                <w:lang w:val="tr-TR"/>
              </w:rPr>
              <w:t>,</w:t>
            </w:r>
            <w:r w:rsidRPr="00810BB9">
              <w:rPr>
                <w:rFonts w:ascii="Century" w:hAnsi="Century"/>
                <w:lang w:val="tr-TR"/>
              </w:rPr>
              <w:t xml:space="preserve"> </w:t>
            </w:r>
            <w:r>
              <w:rPr>
                <w:rFonts w:ascii="Century" w:hAnsi="Century"/>
                <w:lang w:val="tr-TR"/>
              </w:rPr>
              <w:t xml:space="preserve">bakiye </w:t>
            </w:r>
            <w:r w:rsidR="00CD6E9E" w:rsidRPr="00810BB9">
              <w:rPr>
                <w:rFonts w:ascii="Century" w:hAnsi="Century"/>
                <w:lang w:val="tr-TR"/>
              </w:rPr>
              <w:t>%</w:t>
            </w:r>
            <w:r w:rsidRPr="00810BB9">
              <w:rPr>
                <w:rFonts w:ascii="Century" w:hAnsi="Century"/>
                <w:lang w:val="tr-TR"/>
              </w:rPr>
              <w:t>5</w:t>
            </w:r>
            <w:r w:rsidR="00CD6E9E" w:rsidRPr="00810BB9">
              <w:rPr>
                <w:rFonts w:ascii="Century" w:hAnsi="Century"/>
                <w:lang w:val="tr-TR"/>
              </w:rPr>
              <w:t>’</w:t>
            </w:r>
            <w:r w:rsidRPr="00810BB9">
              <w:rPr>
                <w:rFonts w:ascii="Century" w:hAnsi="Century"/>
                <w:lang w:val="tr-TR"/>
              </w:rPr>
              <w:t>ini</w:t>
            </w:r>
            <w:r w:rsidR="00CD6E9E" w:rsidRPr="00810BB9">
              <w:rPr>
                <w:rFonts w:ascii="Century" w:hAnsi="Century"/>
                <w:lang w:val="tr-TR"/>
              </w:rPr>
              <w:t xml:space="preserve"> ise reasürans şirketleri oluşturmaktadır. </w:t>
            </w:r>
          </w:p>
          <w:p w:rsidR="007A6FA3" w:rsidRDefault="007A6FA3" w:rsidP="008D17FE">
            <w:pPr>
              <w:jc w:val="both"/>
              <w:rPr>
                <w:rFonts w:ascii="Century" w:hAnsi="Century"/>
                <w:lang w:val="tr-TR"/>
              </w:rPr>
            </w:pPr>
          </w:p>
          <w:p w:rsidR="00810BB9" w:rsidRPr="00810BB9" w:rsidRDefault="00810BB9" w:rsidP="008D17FE">
            <w:pPr>
              <w:jc w:val="both"/>
              <w:rPr>
                <w:rFonts w:ascii="Century" w:hAnsi="Century"/>
                <w:lang w:val="tr-TR"/>
              </w:rPr>
            </w:pPr>
          </w:p>
          <w:p w:rsidR="00CD6E9E" w:rsidRPr="00810BB9" w:rsidRDefault="00CD6E9E" w:rsidP="008D17FE">
            <w:pPr>
              <w:jc w:val="both"/>
              <w:rPr>
                <w:rFonts w:ascii="Century" w:hAnsi="Century"/>
                <w:lang w:val="tr-TR"/>
              </w:rPr>
            </w:pPr>
            <w:r w:rsidRPr="00810BB9">
              <w:rPr>
                <w:rFonts w:ascii="Century" w:hAnsi="Century"/>
                <w:lang w:val="tr-TR"/>
              </w:rPr>
              <w:t xml:space="preserve">Hayat dışı sigorta şirketlerinin </w:t>
            </w:r>
            <w:r w:rsidR="009E5A95" w:rsidRPr="00810BB9">
              <w:rPr>
                <w:rFonts w:ascii="Century" w:hAnsi="Century"/>
                <w:lang w:val="tr-TR"/>
              </w:rPr>
              <w:t>varlık</w:t>
            </w:r>
            <w:r w:rsidRPr="00810BB9">
              <w:rPr>
                <w:rFonts w:ascii="Century" w:hAnsi="Century"/>
                <w:lang w:val="tr-TR"/>
              </w:rPr>
              <w:t xml:space="preserve"> toplamı içerisinde en büyük payı esas faaliyetlerden alacaklar oluştururken, hayat/emeklilik şirketlerinde </w:t>
            </w:r>
            <w:r w:rsidR="00810BB9" w:rsidRPr="00810BB9">
              <w:rPr>
                <w:rFonts w:ascii="Century" w:hAnsi="Century"/>
                <w:lang w:val="tr-TR"/>
              </w:rPr>
              <w:t>ve</w:t>
            </w:r>
            <w:r w:rsidRPr="00810BB9">
              <w:rPr>
                <w:rFonts w:ascii="Century" w:hAnsi="Century"/>
                <w:lang w:val="tr-TR"/>
              </w:rPr>
              <w:t xml:space="preserve"> hayat şirketlerinde ise finansal varlıklar oluşturmaktadır. </w:t>
            </w:r>
          </w:p>
          <w:p w:rsidR="00D35446" w:rsidRPr="00367FA3" w:rsidRDefault="00D35446" w:rsidP="008D17FE">
            <w:pPr>
              <w:rPr>
                <w:rFonts w:ascii="Century" w:hAnsi="Century"/>
                <w:highlight w:val="yellow"/>
                <w:lang w:val="tr-TR"/>
              </w:rPr>
            </w:pPr>
          </w:p>
          <w:p w:rsidR="0002634F" w:rsidRPr="00367FA3" w:rsidRDefault="0002634F"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7A6FA3" w:rsidRPr="00CF3FF2" w:rsidRDefault="007A6FA3" w:rsidP="004443B5">
            <w:pPr>
              <w:ind w:left="357"/>
              <w:rPr>
                <w:rFonts w:ascii="Century" w:hAnsi="Century"/>
                <w:b/>
                <w:color w:val="404040"/>
              </w:rPr>
            </w:pPr>
            <w:r w:rsidRPr="00CF3FF2">
              <w:rPr>
                <w:rFonts w:ascii="Century" w:hAnsi="Century"/>
                <w:b/>
                <w:color w:val="404040"/>
                <w:lang w:val="tr-TR"/>
              </w:rPr>
              <w:t xml:space="preserve">A.     </w:t>
            </w:r>
            <w:r w:rsidRPr="00CF3FF2">
              <w:rPr>
                <w:rFonts w:ascii="Century" w:hAnsi="Century"/>
                <w:b/>
                <w:color w:val="404040"/>
              </w:rPr>
              <w:t>Assets</w:t>
            </w:r>
          </w:p>
          <w:p w:rsidR="00D35446" w:rsidRPr="00CF3FF2" w:rsidRDefault="00D35446" w:rsidP="008D17FE">
            <w:pPr>
              <w:rPr>
                <w:rFonts w:ascii="Century" w:hAnsi="Century"/>
                <w:color w:val="404040"/>
                <w:lang w:val="tr-TR"/>
              </w:rPr>
            </w:pPr>
          </w:p>
          <w:p w:rsidR="007A6FA3" w:rsidRPr="00CF3FF2" w:rsidRDefault="007A6FA3" w:rsidP="007A6FA3">
            <w:pPr>
              <w:jc w:val="both"/>
              <w:rPr>
                <w:rFonts w:ascii="Century" w:hAnsi="Century"/>
                <w:color w:val="404040"/>
              </w:rPr>
            </w:pPr>
            <w:r w:rsidRPr="00CF3FF2">
              <w:rPr>
                <w:rFonts w:ascii="Century" w:hAnsi="Century"/>
                <w:color w:val="404040"/>
              </w:rPr>
              <w:t xml:space="preserve">As </w:t>
            </w:r>
            <w:r w:rsidR="00EA5DF3" w:rsidRPr="00CF3FF2">
              <w:rPr>
                <w:rFonts w:ascii="Century" w:hAnsi="Century"/>
                <w:color w:val="404040"/>
              </w:rPr>
              <w:t>at</w:t>
            </w:r>
            <w:r w:rsidRPr="00CF3FF2">
              <w:rPr>
                <w:rFonts w:ascii="Century" w:hAnsi="Century"/>
                <w:color w:val="404040"/>
              </w:rPr>
              <w:t xml:space="preserve"> </w:t>
            </w:r>
            <w:smartTag w:uri="urn:schemas-microsoft-com:office:smarttags" w:element="date">
              <w:smartTagPr>
                <w:attr w:name="Year" w:val="2007"/>
                <w:attr w:name="Day" w:val="31"/>
                <w:attr w:name="Month" w:val="12"/>
              </w:smartTagPr>
              <w:r w:rsidRPr="00CF3FF2">
                <w:rPr>
                  <w:rFonts w:ascii="Century" w:hAnsi="Century"/>
                  <w:color w:val="404040"/>
                </w:rPr>
                <w:t>December</w:t>
              </w:r>
              <w:r w:rsidR="00CF74F5" w:rsidRPr="00CF3FF2">
                <w:rPr>
                  <w:rFonts w:ascii="Century" w:hAnsi="Century"/>
                  <w:color w:val="404040"/>
                </w:rPr>
                <w:t xml:space="preserve"> 31,</w:t>
              </w:r>
              <w:r w:rsidRPr="00CF3FF2">
                <w:rPr>
                  <w:rFonts w:ascii="Century" w:hAnsi="Century"/>
                  <w:color w:val="404040"/>
                </w:rPr>
                <w:t xml:space="preserve"> 200</w:t>
              </w:r>
              <w:r w:rsidR="00810BB9" w:rsidRPr="00CF3FF2">
                <w:rPr>
                  <w:rFonts w:ascii="Century" w:hAnsi="Century"/>
                  <w:color w:val="404040"/>
                </w:rPr>
                <w:t>7</w:t>
              </w:r>
            </w:smartTag>
            <w:r w:rsidRPr="00CF3FF2">
              <w:rPr>
                <w:rFonts w:ascii="Century" w:hAnsi="Century"/>
                <w:color w:val="404040"/>
              </w:rPr>
              <w:t>, non</w:t>
            </w:r>
            <w:r w:rsidR="00AB220A" w:rsidRPr="00CF3FF2">
              <w:rPr>
                <w:rFonts w:ascii="Century" w:hAnsi="Century"/>
                <w:color w:val="404040"/>
              </w:rPr>
              <w:t>-</w:t>
            </w:r>
            <w:r w:rsidRPr="00CF3FF2">
              <w:rPr>
                <w:rFonts w:ascii="Century" w:hAnsi="Century"/>
                <w:color w:val="404040"/>
              </w:rPr>
              <w:t>life insurance companies make up 49% of the total assets of insurance and private pension sector, 4</w:t>
            </w:r>
            <w:r w:rsidR="00810BB9" w:rsidRPr="00CF3FF2">
              <w:rPr>
                <w:rFonts w:ascii="Century" w:hAnsi="Century"/>
                <w:color w:val="404040"/>
              </w:rPr>
              <w:t>1</w:t>
            </w:r>
            <w:r w:rsidRPr="00CF3FF2">
              <w:rPr>
                <w:rFonts w:ascii="Century" w:hAnsi="Century"/>
                <w:color w:val="404040"/>
              </w:rPr>
              <w:t>% of the assets belong to life/pension insurance companies</w:t>
            </w:r>
            <w:r w:rsidR="00810BB9" w:rsidRPr="00CF3FF2">
              <w:rPr>
                <w:rFonts w:ascii="Century" w:hAnsi="Century"/>
                <w:color w:val="404040"/>
              </w:rPr>
              <w:t>, 5% of the assets belong to life insurance companies</w:t>
            </w:r>
            <w:r w:rsidRPr="00CF3FF2">
              <w:rPr>
                <w:rFonts w:ascii="Century" w:hAnsi="Century"/>
                <w:color w:val="404040"/>
              </w:rPr>
              <w:t xml:space="preserve"> and the remaining </w:t>
            </w:r>
            <w:r w:rsidR="00810BB9" w:rsidRPr="00CF3FF2">
              <w:rPr>
                <w:rFonts w:ascii="Century" w:hAnsi="Century"/>
                <w:color w:val="404040"/>
              </w:rPr>
              <w:t>5</w:t>
            </w:r>
            <w:r w:rsidRPr="00CF3FF2">
              <w:rPr>
                <w:rFonts w:ascii="Century" w:hAnsi="Century"/>
                <w:color w:val="404040"/>
              </w:rPr>
              <w:t>% belongs to reinsurance companies.</w:t>
            </w:r>
          </w:p>
          <w:p w:rsidR="007A6FA3" w:rsidRPr="00CF3FF2" w:rsidRDefault="007A6FA3" w:rsidP="008D17FE">
            <w:pPr>
              <w:rPr>
                <w:rFonts w:ascii="Century" w:hAnsi="Century"/>
                <w:color w:val="404040"/>
                <w:lang w:val="tr-TR"/>
              </w:rPr>
            </w:pPr>
          </w:p>
          <w:p w:rsidR="007A6FA3" w:rsidRPr="00CF3FF2" w:rsidRDefault="007A6FA3" w:rsidP="007A6FA3">
            <w:pPr>
              <w:jc w:val="both"/>
              <w:rPr>
                <w:rFonts w:ascii="Century" w:hAnsi="Century"/>
                <w:color w:val="404040"/>
              </w:rPr>
            </w:pPr>
            <w:r w:rsidRPr="00CF3FF2">
              <w:rPr>
                <w:rFonts w:ascii="Century" w:hAnsi="Century"/>
                <w:color w:val="404040"/>
              </w:rPr>
              <w:t>Receivables from operations compose the largest share of total assets of non</w:t>
            </w:r>
            <w:r w:rsidR="00AB220A" w:rsidRPr="00CF3FF2">
              <w:rPr>
                <w:rFonts w:ascii="Century" w:hAnsi="Century"/>
                <w:color w:val="404040"/>
              </w:rPr>
              <w:t>-</w:t>
            </w:r>
            <w:r w:rsidRPr="00CF3FF2">
              <w:rPr>
                <w:rFonts w:ascii="Century" w:hAnsi="Century"/>
                <w:color w:val="404040"/>
              </w:rPr>
              <w:t xml:space="preserve">life insurance companies while financial assets have the largest share of life/pension insurance and life insurance companies.  </w:t>
            </w:r>
          </w:p>
          <w:p w:rsidR="007A6FA3" w:rsidRPr="00367FA3" w:rsidRDefault="007A6FA3" w:rsidP="008D17FE">
            <w:pPr>
              <w:rPr>
                <w:rFonts w:ascii="Century" w:hAnsi="Century"/>
                <w:highlight w:val="yellow"/>
                <w:lang w:val="tr-TR"/>
              </w:rPr>
            </w:pPr>
          </w:p>
        </w:tc>
      </w:tr>
      <w:tr w:rsidR="00CD6E9E" w:rsidRPr="00367FA3">
        <w:tc>
          <w:tcPr>
            <w:tcW w:w="9855" w:type="dxa"/>
            <w:gridSpan w:val="5"/>
          </w:tcPr>
          <w:p w:rsidR="00CD6E9E" w:rsidRPr="00810BB9" w:rsidRDefault="00CD6E9E" w:rsidP="00D96FCE">
            <w:pPr>
              <w:pStyle w:val="ResimYazs"/>
              <w:jc w:val="center"/>
              <w:rPr>
                <w:rFonts w:ascii="Century" w:hAnsi="Century"/>
                <w:lang w:val="tr-TR"/>
              </w:rPr>
            </w:pPr>
            <w:bookmarkStart w:id="65" w:name="_Toc170665540"/>
            <w:r w:rsidRPr="00810BB9">
              <w:rPr>
                <w:rFonts w:ascii="Century" w:hAnsi="Century"/>
                <w:lang w:val="tr-TR"/>
              </w:rPr>
              <w:t xml:space="preserve">Tablo </w:t>
            </w:r>
            <w:r w:rsidRPr="00810BB9">
              <w:rPr>
                <w:rFonts w:ascii="Century" w:hAnsi="Century"/>
                <w:lang w:val="tr-TR"/>
              </w:rPr>
              <w:fldChar w:fldCharType="begin"/>
            </w:r>
            <w:r w:rsidRPr="00810BB9">
              <w:rPr>
                <w:rFonts w:ascii="Century" w:hAnsi="Century"/>
                <w:lang w:val="tr-TR"/>
              </w:rPr>
              <w:instrText xml:space="preserve"> STYLEREF 2 \s </w:instrText>
            </w:r>
            <w:r w:rsidRPr="00810BB9">
              <w:rPr>
                <w:rFonts w:ascii="Century" w:hAnsi="Century"/>
                <w:lang w:val="tr-TR"/>
              </w:rPr>
              <w:fldChar w:fldCharType="separate"/>
            </w:r>
            <w:r w:rsidR="00DA718E">
              <w:rPr>
                <w:rFonts w:ascii="Century" w:hAnsi="Century"/>
                <w:noProof/>
                <w:lang w:val="tr-TR"/>
              </w:rPr>
              <w:t>1.4</w:t>
            </w:r>
            <w:r w:rsidRPr="00810BB9">
              <w:rPr>
                <w:rFonts w:ascii="Century" w:hAnsi="Century"/>
                <w:lang w:val="tr-TR"/>
              </w:rPr>
              <w:fldChar w:fldCharType="end"/>
            </w:r>
            <w:r w:rsidRPr="00810BB9">
              <w:rPr>
                <w:rFonts w:ascii="Century" w:hAnsi="Century"/>
                <w:lang w:val="tr-TR"/>
              </w:rPr>
              <w:noBreakHyphen/>
            </w:r>
            <w:r w:rsidRPr="00810BB9">
              <w:rPr>
                <w:rFonts w:ascii="Century" w:hAnsi="Century"/>
                <w:lang w:val="tr-TR"/>
              </w:rPr>
              <w:fldChar w:fldCharType="begin"/>
            </w:r>
            <w:r w:rsidRPr="00810BB9">
              <w:rPr>
                <w:rFonts w:ascii="Century" w:hAnsi="Century"/>
                <w:lang w:val="tr-TR"/>
              </w:rPr>
              <w:instrText xml:space="preserve"> SEQ Tablo \* ARABIC \s 2 </w:instrText>
            </w:r>
            <w:r w:rsidRPr="00810BB9">
              <w:rPr>
                <w:rFonts w:ascii="Century" w:hAnsi="Century"/>
                <w:lang w:val="tr-TR"/>
              </w:rPr>
              <w:fldChar w:fldCharType="separate"/>
            </w:r>
            <w:r w:rsidR="00DA718E">
              <w:rPr>
                <w:rFonts w:ascii="Century" w:hAnsi="Century"/>
                <w:noProof/>
                <w:lang w:val="tr-TR"/>
              </w:rPr>
              <w:t>5</w:t>
            </w:r>
            <w:r w:rsidRPr="00810BB9">
              <w:rPr>
                <w:rFonts w:ascii="Century" w:hAnsi="Century"/>
                <w:lang w:val="tr-TR"/>
              </w:rPr>
              <w:fldChar w:fldCharType="end"/>
            </w:r>
            <w:r w:rsidRPr="00810BB9">
              <w:rPr>
                <w:rFonts w:ascii="Century" w:hAnsi="Century"/>
                <w:lang w:val="tr-TR"/>
              </w:rPr>
              <w:t xml:space="preserve">; </w:t>
            </w:r>
            <w:r w:rsidR="00C67167" w:rsidRPr="00810BB9">
              <w:rPr>
                <w:rFonts w:ascii="Century" w:hAnsi="Century"/>
                <w:bCs w:val="0"/>
                <w:lang w:val="tr-TR"/>
              </w:rPr>
              <w:t>2007</w:t>
            </w:r>
            <w:r w:rsidRPr="00810BB9">
              <w:rPr>
                <w:rFonts w:ascii="Century" w:hAnsi="Century"/>
                <w:bCs w:val="0"/>
                <w:lang w:val="tr-TR"/>
              </w:rPr>
              <w:t xml:space="preserve"> Yılı </w:t>
            </w:r>
            <w:r w:rsidR="007A6865" w:rsidRPr="00810BB9">
              <w:rPr>
                <w:rFonts w:ascii="Century" w:hAnsi="Century"/>
                <w:bCs w:val="0"/>
                <w:lang w:val="tr-TR"/>
              </w:rPr>
              <w:t>Varlık Toplamı</w:t>
            </w:r>
            <w:r w:rsidRPr="00810BB9">
              <w:rPr>
                <w:rFonts w:ascii="Century" w:hAnsi="Century"/>
                <w:bCs w:val="0"/>
                <w:lang w:val="tr-TR"/>
              </w:rPr>
              <w:t xml:space="preserve"> - </w:t>
            </w:r>
            <w:r w:rsidRPr="00810BB9">
              <w:rPr>
                <w:rFonts w:ascii="Century" w:hAnsi="Century"/>
                <w:b w:val="0"/>
                <w:i/>
                <w:iCs/>
                <w:lang w:val="tr-TR"/>
              </w:rPr>
              <w:t>Total Assets of 200</w:t>
            </w:r>
            <w:bookmarkEnd w:id="65"/>
            <w:r w:rsidR="00C67167" w:rsidRPr="00810BB9">
              <w:rPr>
                <w:rFonts w:ascii="Century" w:hAnsi="Century"/>
                <w:b w:val="0"/>
                <w:i/>
                <w:iCs/>
                <w:lang w:val="tr-TR"/>
              </w:rPr>
              <w:t>7</w:t>
            </w:r>
          </w:p>
          <w:p w:rsidR="00CD6E9E" w:rsidRPr="00CA1EF5" w:rsidRDefault="00CA1EF5" w:rsidP="00D96FCE">
            <w:pPr>
              <w:jc w:val="center"/>
              <w:rPr>
                <w:rFonts w:ascii="Century" w:hAnsi="Century"/>
                <w:highlight w:val="yellow"/>
                <w:lang w:val="tr-TR"/>
              </w:rPr>
            </w:pPr>
            <w:r w:rsidRPr="00CA1EF5">
              <w:rPr>
                <w:rFonts w:ascii="Century" w:hAnsi="Century"/>
                <w:lang w:val="tr-TR"/>
              </w:rPr>
              <w:pict>
                <v:shape id="_x0000_i1057" type="#_x0000_t75" style="width:481.5pt;height:147.75pt">
                  <v:imagedata r:id="rId47" o:title=""/>
                </v:shape>
              </w:pict>
            </w:r>
          </w:p>
        </w:tc>
      </w:tr>
      <w:tr w:rsidR="00D35446" w:rsidRPr="00367FA3">
        <w:tc>
          <w:tcPr>
            <w:tcW w:w="4815" w:type="dxa"/>
            <w:gridSpan w:val="2"/>
          </w:tcPr>
          <w:p w:rsidR="0002634F" w:rsidRPr="00367FA3" w:rsidRDefault="0002634F" w:rsidP="008D17FE">
            <w:pPr>
              <w:jc w:val="both"/>
              <w:rPr>
                <w:rFonts w:ascii="Century" w:hAnsi="Century"/>
                <w:highlight w:val="yellow"/>
                <w:lang w:val="tr-TR"/>
              </w:rPr>
            </w:pPr>
          </w:p>
          <w:p w:rsidR="0002634F" w:rsidRPr="001B5AE3" w:rsidRDefault="0002634F" w:rsidP="008D17FE">
            <w:pPr>
              <w:jc w:val="both"/>
              <w:rPr>
                <w:rFonts w:ascii="Century" w:hAnsi="Century"/>
                <w:lang w:val="tr-TR"/>
              </w:rPr>
            </w:pPr>
          </w:p>
          <w:p w:rsidR="00CD6E9E" w:rsidRPr="001B5AE3" w:rsidRDefault="00CD6E9E" w:rsidP="008D17FE">
            <w:pPr>
              <w:jc w:val="both"/>
              <w:rPr>
                <w:rFonts w:ascii="Century" w:hAnsi="Century"/>
                <w:lang w:val="tr-TR"/>
              </w:rPr>
            </w:pPr>
            <w:r w:rsidRPr="001B5AE3">
              <w:rPr>
                <w:rFonts w:ascii="Century" w:hAnsi="Century"/>
                <w:lang w:val="tr-TR"/>
              </w:rPr>
              <w:t>Finansal varlıklar</w:t>
            </w:r>
            <w:r w:rsidR="00687295" w:rsidRPr="001B5AE3">
              <w:rPr>
                <w:rFonts w:ascii="Century" w:hAnsi="Century"/>
                <w:lang w:val="tr-TR"/>
              </w:rPr>
              <w:t xml:space="preserve"> içerisinde hayat dışı ve hayat/</w:t>
            </w:r>
            <w:r w:rsidRPr="001B5AE3">
              <w:rPr>
                <w:rFonts w:ascii="Century" w:hAnsi="Century"/>
                <w:lang w:val="tr-TR"/>
              </w:rPr>
              <w:t>emeklilik grubunda satılmaya hazır finansal varlıklar en yüksek paya sahip iken, reasürans şirketlerinin finansal varlıklarının tamamı alım satım amaçlı varlıklardan oluşmaktadır (Finansal varlıkların şirket bazında detayı Tablo</w:t>
            </w:r>
            <w:r w:rsidR="00096277" w:rsidRPr="001B5AE3">
              <w:rPr>
                <w:rFonts w:ascii="Century" w:hAnsi="Century"/>
                <w:lang w:val="tr-TR"/>
              </w:rPr>
              <w:t xml:space="preserve"> </w:t>
            </w:r>
            <w:r w:rsidRPr="001B5AE3">
              <w:rPr>
                <w:rFonts w:ascii="Century" w:hAnsi="Century"/>
                <w:lang w:val="tr-TR"/>
              </w:rPr>
              <w:t>4’te verilmiştir).</w:t>
            </w:r>
          </w:p>
          <w:p w:rsidR="0002634F" w:rsidRPr="001B5AE3" w:rsidRDefault="0002634F" w:rsidP="008D17FE">
            <w:pPr>
              <w:rPr>
                <w:rFonts w:ascii="Century" w:hAnsi="Century"/>
                <w:lang w:val="tr-TR"/>
              </w:rPr>
            </w:pPr>
          </w:p>
          <w:p w:rsidR="006B3335" w:rsidRDefault="006B3335" w:rsidP="008D17FE">
            <w:pPr>
              <w:rPr>
                <w:rFonts w:ascii="Century" w:hAnsi="Century"/>
                <w:highlight w:val="yellow"/>
                <w:lang w:val="tr-TR"/>
              </w:rPr>
            </w:pPr>
          </w:p>
          <w:p w:rsidR="00D94069" w:rsidRDefault="00D94069" w:rsidP="008D17FE">
            <w:pPr>
              <w:rPr>
                <w:rFonts w:ascii="Century" w:hAnsi="Century"/>
                <w:highlight w:val="yellow"/>
                <w:lang w:val="tr-TR"/>
              </w:rPr>
            </w:pPr>
          </w:p>
          <w:p w:rsidR="00EC0CCE" w:rsidRDefault="00EC0CCE" w:rsidP="008D17FE">
            <w:pPr>
              <w:rPr>
                <w:rFonts w:ascii="Century" w:hAnsi="Century"/>
                <w:highlight w:val="yellow"/>
                <w:lang w:val="tr-TR"/>
              </w:rPr>
            </w:pPr>
          </w:p>
          <w:p w:rsidR="00EC0CCE" w:rsidRPr="00367FA3" w:rsidRDefault="00EC0CCE"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p w:rsidR="00096277" w:rsidRPr="00367FA3" w:rsidRDefault="00096277"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367FA3" w:rsidRDefault="00D35446" w:rsidP="008D17FE">
            <w:pPr>
              <w:rPr>
                <w:rFonts w:ascii="Century" w:hAnsi="Century"/>
                <w:color w:val="1C1C1C"/>
                <w:highlight w:val="yellow"/>
                <w:lang w:val="tr-TR"/>
              </w:rPr>
            </w:pPr>
          </w:p>
          <w:p w:rsidR="00C32B5D" w:rsidRPr="001B5AE3" w:rsidRDefault="00C32B5D" w:rsidP="008D17FE">
            <w:pPr>
              <w:rPr>
                <w:rFonts w:ascii="Century" w:hAnsi="Century"/>
                <w:color w:val="1C1C1C"/>
                <w:lang w:val="tr-TR"/>
              </w:rPr>
            </w:pPr>
          </w:p>
          <w:p w:rsidR="00C32B5D" w:rsidRPr="00CF3FF2" w:rsidRDefault="00C32B5D" w:rsidP="00C32B5D">
            <w:pPr>
              <w:jc w:val="both"/>
              <w:rPr>
                <w:rFonts w:ascii="Century" w:hAnsi="Century"/>
                <w:color w:val="404040"/>
              </w:rPr>
            </w:pPr>
            <w:r w:rsidRPr="00CF3FF2">
              <w:rPr>
                <w:rFonts w:ascii="Century" w:hAnsi="Century"/>
                <w:color w:val="404040"/>
              </w:rPr>
              <w:t>As the financial assets available for sale have the biggest share in financial assets in non</w:t>
            </w:r>
            <w:r w:rsidR="00AB220A" w:rsidRPr="00CF3FF2">
              <w:rPr>
                <w:rFonts w:ascii="Century" w:hAnsi="Century"/>
                <w:color w:val="404040"/>
              </w:rPr>
              <w:t>-</w:t>
            </w:r>
            <w:r w:rsidRPr="00CF3FF2">
              <w:rPr>
                <w:rFonts w:ascii="Century" w:hAnsi="Century"/>
                <w:color w:val="404040"/>
              </w:rPr>
              <w:t>life and life/pension group, all financial assets of reinsurance companies are composed of fi</w:t>
            </w:r>
            <w:r w:rsidR="00AD74EA" w:rsidRPr="00CF3FF2">
              <w:rPr>
                <w:rFonts w:ascii="Century" w:hAnsi="Century"/>
                <w:color w:val="404040"/>
              </w:rPr>
              <w:t>nancial assets held for trading</w:t>
            </w:r>
            <w:r w:rsidRPr="00CF3FF2">
              <w:rPr>
                <w:rFonts w:ascii="Century" w:hAnsi="Century"/>
                <w:color w:val="404040"/>
              </w:rPr>
              <w:t xml:space="preserve"> (The details of the financial assets per companies take place in Table 4)</w:t>
            </w:r>
            <w:r w:rsidR="004752E2" w:rsidRPr="00CF3FF2">
              <w:rPr>
                <w:rFonts w:ascii="Century" w:hAnsi="Century"/>
                <w:color w:val="404040"/>
              </w:rPr>
              <w:t>.</w:t>
            </w:r>
          </w:p>
          <w:p w:rsidR="00C32B5D" w:rsidRPr="00367FA3" w:rsidRDefault="00C32B5D" w:rsidP="008D17FE">
            <w:pPr>
              <w:rPr>
                <w:rFonts w:ascii="Century" w:hAnsi="Century"/>
                <w:color w:val="1C1C1C"/>
                <w:highlight w:val="yellow"/>
                <w:lang w:val="tr-TR"/>
              </w:rPr>
            </w:pPr>
          </w:p>
        </w:tc>
      </w:tr>
      <w:tr w:rsidR="006C6FA8" w:rsidRPr="00367FA3">
        <w:tc>
          <w:tcPr>
            <w:tcW w:w="9855" w:type="dxa"/>
            <w:gridSpan w:val="5"/>
          </w:tcPr>
          <w:p w:rsidR="0001780E" w:rsidRPr="00810BB9" w:rsidRDefault="0001780E" w:rsidP="00AA43E9">
            <w:pPr>
              <w:pStyle w:val="ResimYazs"/>
              <w:jc w:val="center"/>
              <w:rPr>
                <w:rFonts w:ascii="Century" w:hAnsi="Century"/>
                <w:lang w:val="tr-TR"/>
              </w:rPr>
            </w:pPr>
            <w:bookmarkStart w:id="66" w:name="_Toc170665541"/>
            <w:r w:rsidRPr="00810BB9">
              <w:rPr>
                <w:rFonts w:ascii="Century" w:hAnsi="Century"/>
                <w:lang w:val="tr-TR"/>
              </w:rPr>
              <w:lastRenderedPageBreak/>
              <w:t xml:space="preserve">Tablo </w:t>
            </w:r>
            <w:r w:rsidRPr="00810BB9">
              <w:rPr>
                <w:rFonts w:ascii="Century" w:hAnsi="Century"/>
                <w:lang w:val="tr-TR"/>
              </w:rPr>
              <w:fldChar w:fldCharType="begin"/>
            </w:r>
            <w:r w:rsidRPr="00810BB9">
              <w:rPr>
                <w:rFonts w:ascii="Century" w:hAnsi="Century"/>
                <w:lang w:val="tr-TR"/>
              </w:rPr>
              <w:instrText xml:space="preserve"> STYLEREF 2 \s </w:instrText>
            </w:r>
            <w:r w:rsidRPr="00810BB9">
              <w:rPr>
                <w:rFonts w:ascii="Century" w:hAnsi="Century"/>
                <w:lang w:val="tr-TR"/>
              </w:rPr>
              <w:fldChar w:fldCharType="separate"/>
            </w:r>
            <w:r w:rsidR="00DA718E">
              <w:rPr>
                <w:rFonts w:ascii="Century" w:hAnsi="Century"/>
                <w:noProof/>
                <w:lang w:val="tr-TR"/>
              </w:rPr>
              <w:t>1.4</w:t>
            </w:r>
            <w:r w:rsidRPr="00810BB9">
              <w:rPr>
                <w:rFonts w:ascii="Century" w:hAnsi="Century"/>
                <w:lang w:val="tr-TR"/>
              </w:rPr>
              <w:fldChar w:fldCharType="end"/>
            </w:r>
            <w:r w:rsidRPr="00810BB9">
              <w:rPr>
                <w:rFonts w:ascii="Century" w:hAnsi="Century"/>
                <w:lang w:val="tr-TR"/>
              </w:rPr>
              <w:noBreakHyphen/>
            </w:r>
            <w:r w:rsidRPr="00810BB9">
              <w:rPr>
                <w:rFonts w:ascii="Century" w:hAnsi="Century"/>
                <w:lang w:val="tr-TR"/>
              </w:rPr>
              <w:fldChar w:fldCharType="begin"/>
            </w:r>
            <w:r w:rsidRPr="00810BB9">
              <w:rPr>
                <w:rFonts w:ascii="Century" w:hAnsi="Century"/>
                <w:lang w:val="tr-TR"/>
              </w:rPr>
              <w:instrText xml:space="preserve"> SEQ Tablo \* ARABIC \s 2 </w:instrText>
            </w:r>
            <w:r w:rsidRPr="00810BB9">
              <w:rPr>
                <w:rFonts w:ascii="Century" w:hAnsi="Century"/>
                <w:lang w:val="tr-TR"/>
              </w:rPr>
              <w:fldChar w:fldCharType="separate"/>
            </w:r>
            <w:r w:rsidR="00DA718E">
              <w:rPr>
                <w:rFonts w:ascii="Century" w:hAnsi="Century"/>
                <w:noProof/>
                <w:lang w:val="tr-TR"/>
              </w:rPr>
              <w:t>6</w:t>
            </w:r>
            <w:r w:rsidRPr="00810BB9">
              <w:rPr>
                <w:rFonts w:ascii="Century" w:hAnsi="Century"/>
                <w:lang w:val="tr-TR"/>
              </w:rPr>
              <w:fldChar w:fldCharType="end"/>
            </w:r>
            <w:r w:rsidRPr="00810BB9">
              <w:rPr>
                <w:rFonts w:ascii="Century" w:hAnsi="Century"/>
                <w:lang w:val="tr-TR"/>
              </w:rPr>
              <w:t xml:space="preserve">; </w:t>
            </w:r>
            <w:r w:rsidRPr="00810BB9">
              <w:rPr>
                <w:rFonts w:ascii="Century" w:hAnsi="Century"/>
                <w:bCs w:val="0"/>
                <w:lang w:val="tr-TR"/>
              </w:rPr>
              <w:t>Finansal Varlıklar</w:t>
            </w:r>
            <w:r w:rsidR="001B5AE3">
              <w:rPr>
                <w:rFonts w:ascii="Century" w:hAnsi="Century"/>
                <w:bCs w:val="0"/>
                <w:lang w:val="tr-TR"/>
              </w:rPr>
              <w:t xml:space="preserve"> 31.12.2007</w:t>
            </w:r>
            <w:r w:rsidRPr="00810BB9">
              <w:rPr>
                <w:rFonts w:ascii="Century" w:hAnsi="Century"/>
                <w:lang w:val="tr-TR"/>
              </w:rPr>
              <w:t xml:space="preserve"> - </w:t>
            </w:r>
            <w:r w:rsidRPr="00810BB9">
              <w:rPr>
                <w:rFonts w:ascii="Century" w:hAnsi="Century"/>
                <w:b w:val="0"/>
                <w:i/>
                <w:iCs/>
                <w:lang w:val="tr-TR"/>
              </w:rPr>
              <w:t>Securities Portfolio</w:t>
            </w:r>
            <w:bookmarkEnd w:id="66"/>
          </w:p>
          <w:p w:rsidR="006C6FA8" w:rsidRPr="00FC2C57" w:rsidRDefault="00FC2C57" w:rsidP="00AA43E9">
            <w:pPr>
              <w:jc w:val="center"/>
              <w:rPr>
                <w:rFonts w:ascii="Century" w:hAnsi="Century"/>
                <w:highlight w:val="yellow"/>
                <w:lang w:val="tr-TR"/>
              </w:rPr>
            </w:pPr>
            <w:r w:rsidRPr="00FC2C57">
              <w:rPr>
                <w:rFonts w:ascii="Century" w:hAnsi="Century"/>
                <w:lang w:val="tr-TR"/>
              </w:rPr>
              <w:pict>
                <v:shape id="_x0000_i1058" type="#_x0000_t75" style="width:481.5pt;height:129.75pt">
                  <v:imagedata r:id="rId48" o:title=""/>
                </v:shape>
              </w:pict>
            </w:r>
          </w:p>
        </w:tc>
      </w:tr>
      <w:tr w:rsidR="00D35446" w:rsidRPr="00367FA3">
        <w:tc>
          <w:tcPr>
            <w:tcW w:w="4815" w:type="dxa"/>
            <w:gridSpan w:val="2"/>
          </w:tcPr>
          <w:p w:rsidR="0002634F" w:rsidRPr="00367FA3" w:rsidRDefault="0002634F" w:rsidP="008D17FE">
            <w:pPr>
              <w:jc w:val="both"/>
              <w:rPr>
                <w:rFonts w:ascii="Century" w:hAnsi="Century"/>
                <w:highlight w:val="yellow"/>
                <w:lang w:val="tr-TR"/>
              </w:rPr>
            </w:pPr>
          </w:p>
          <w:p w:rsidR="0002634F" w:rsidRPr="001B5AE3" w:rsidRDefault="0002634F" w:rsidP="008D17FE">
            <w:pPr>
              <w:jc w:val="both"/>
              <w:rPr>
                <w:rFonts w:ascii="Century" w:hAnsi="Century"/>
                <w:lang w:val="tr-TR"/>
              </w:rPr>
            </w:pPr>
          </w:p>
          <w:p w:rsidR="0001780E" w:rsidRPr="001B5AE3" w:rsidRDefault="0001780E" w:rsidP="008D17FE">
            <w:pPr>
              <w:jc w:val="both"/>
              <w:rPr>
                <w:rFonts w:ascii="Century" w:hAnsi="Century"/>
                <w:lang w:val="tr-TR"/>
              </w:rPr>
            </w:pPr>
            <w:r w:rsidRPr="001B5AE3">
              <w:rPr>
                <w:rFonts w:ascii="Century" w:hAnsi="Century"/>
                <w:lang w:val="tr-TR"/>
              </w:rPr>
              <w:t>31.12.</w:t>
            </w:r>
            <w:r w:rsidR="001B5AE3" w:rsidRPr="001B5AE3">
              <w:rPr>
                <w:rFonts w:ascii="Century" w:hAnsi="Century"/>
                <w:lang w:val="tr-TR"/>
              </w:rPr>
              <w:t>2007</w:t>
            </w:r>
            <w:r w:rsidRPr="001B5AE3">
              <w:rPr>
                <w:rFonts w:ascii="Century" w:hAnsi="Century"/>
                <w:lang w:val="tr-TR"/>
              </w:rPr>
              <w:t xml:space="preserve"> tarihi itibariyle finansal varlıkların ve riski sigortalılara ait finansal yatırımların %</w:t>
            </w:r>
            <w:r w:rsidR="002547A1" w:rsidRPr="001B5AE3">
              <w:rPr>
                <w:rFonts w:ascii="Century" w:hAnsi="Century"/>
                <w:lang w:val="tr-TR"/>
              </w:rPr>
              <w:t xml:space="preserve"> </w:t>
            </w:r>
            <w:r w:rsidR="001B5AE3" w:rsidRPr="001B5AE3">
              <w:rPr>
                <w:rFonts w:ascii="Century" w:hAnsi="Century"/>
                <w:lang w:val="tr-TR"/>
              </w:rPr>
              <w:t>31</w:t>
            </w:r>
            <w:r w:rsidRPr="001B5AE3">
              <w:rPr>
                <w:rFonts w:ascii="Century" w:hAnsi="Century"/>
                <w:lang w:val="tr-TR"/>
              </w:rPr>
              <w:t>’</w:t>
            </w:r>
            <w:r w:rsidR="001B5AE3" w:rsidRPr="001B5AE3">
              <w:rPr>
                <w:rFonts w:ascii="Century" w:hAnsi="Century"/>
                <w:lang w:val="tr-TR"/>
              </w:rPr>
              <w:t>i</w:t>
            </w:r>
            <w:r w:rsidRPr="001B5AE3">
              <w:rPr>
                <w:rFonts w:ascii="Century" w:hAnsi="Century"/>
                <w:lang w:val="tr-TR"/>
              </w:rPr>
              <w:t xml:space="preserve"> serbest portföyde yer alırken, %</w:t>
            </w:r>
            <w:r w:rsidR="002547A1" w:rsidRPr="001B5AE3">
              <w:rPr>
                <w:rFonts w:ascii="Century" w:hAnsi="Century"/>
                <w:lang w:val="tr-TR"/>
              </w:rPr>
              <w:t xml:space="preserve"> </w:t>
            </w:r>
            <w:r w:rsidR="001B5AE3" w:rsidRPr="001B5AE3">
              <w:rPr>
                <w:rFonts w:ascii="Century" w:hAnsi="Century"/>
                <w:lang w:val="tr-TR"/>
              </w:rPr>
              <w:t>69’u</w:t>
            </w:r>
            <w:r w:rsidRPr="001B5AE3">
              <w:rPr>
                <w:rFonts w:ascii="Century" w:hAnsi="Century"/>
                <w:lang w:val="tr-TR"/>
              </w:rPr>
              <w:t xml:space="preserve"> sigorta sözleşmelerinden doğan taahhütlerine karşılık olmak üzere</w:t>
            </w:r>
            <w:r w:rsidR="00FC2C57">
              <w:rPr>
                <w:rFonts w:ascii="Century" w:hAnsi="Century"/>
                <w:lang w:val="tr-TR"/>
              </w:rPr>
              <w:t xml:space="preserve"> ş</w:t>
            </w:r>
            <w:r w:rsidR="00D0237B">
              <w:rPr>
                <w:rFonts w:ascii="Century" w:hAnsi="Century"/>
                <w:lang w:val="tr-TR"/>
              </w:rPr>
              <w:t>irketler tarafından</w:t>
            </w:r>
            <w:r w:rsidRPr="001B5AE3">
              <w:rPr>
                <w:rFonts w:ascii="Century" w:hAnsi="Century"/>
                <w:lang w:val="tr-TR"/>
              </w:rPr>
              <w:t xml:space="preserve"> Hazine Müsteşarlığı </w:t>
            </w:r>
            <w:r w:rsidR="00D0237B">
              <w:rPr>
                <w:rFonts w:ascii="Century" w:hAnsi="Century"/>
                <w:lang w:val="tr-TR"/>
              </w:rPr>
              <w:t>lehine</w:t>
            </w:r>
            <w:r w:rsidRPr="001B5AE3">
              <w:rPr>
                <w:rFonts w:ascii="Century" w:hAnsi="Century"/>
                <w:lang w:val="tr-TR"/>
              </w:rPr>
              <w:t xml:space="preserve"> bloke edilen kıymetlerden oluşmaktadır.</w:t>
            </w:r>
          </w:p>
          <w:p w:rsidR="0002634F" w:rsidRPr="00367FA3" w:rsidRDefault="0002634F"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367FA3" w:rsidRDefault="00D35446" w:rsidP="008D17FE">
            <w:pPr>
              <w:rPr>
                <w:rFonts w:ascii="Century" w:hAnsi="Century"/>
                <w:highlight w:val="yellow"/>
                <w:lang w:val="tr-TR"/>
              </w:rPr>
            </w:pPr>
          </w:p>
          <w:p w:rsidR="00C32B5D" w:rsidRPr="001B5AE3" w:rsidRDefault="00C32B5D" w:rsidP="008D17FE">
            <w:pPr>
              <w:rPr>
                <w:rFonts w:ascii="Century" w:hAnsi="Century"/>
                <w:lang w:val="tr-TR"/>
              </w:rPr>
            </w:pPr>
          </w:p>
          <w:p w:rsidR="00C32B5D" w:rsidRPr="00116533" w:rsidRDefault="00E24467" w:rsidP="00C32B5D">
            <w:pPr>
              <w:jc w:val="both"/>
              <w:rPr>
                <w:rFonts w:ascii="Century" w:hAnsi="Century"/>
                <w:color w:val="404040"/>
              </w:rPr>
            </w:pPr>
            <w:r w:rsidRPr="00116533">
              <w:rPr>
                <w:rFonts w:ascii="Century" w:hAnsi="Century"/>
                <w:color w:val="404040"/>
              </w:rPr>
              <w:t xml:space="preserve">As at </w:t>
            </w:r>
            <w:smartTag w:uri="urn:schemas-microsoft-com:office:smarttags" w:element="date">
              <w:smartTagPr>
                <w:attr w:name="Year" w:val="2007"/>
                <w:attr w:name="Day" w:val="31"/>
                <w:attr w:name="Month" w:val="12"/>
              </w:smartTagPr>
              <w:r w:rsidR="00C32B5D" w:rsidRPr="00116533">
                <w:rPr>
                  <w:rFonts w:ascii="Century" w:hAnsi="Century"/>
                  <w:color w:val="404040"/>
                </w:rPr>
                <w:t xml:space="preserve">December </w:t>
              </w:r>
              <w:r w:rsidRPr="00116533">
                <w:rPr>
                  <w:rFonts w:ascii="Century" w:hAnsi="Century"/>
                  <w:color w:val="404040"/>
                </w:rPr>
                <w:t xml:space="preserve">31, </w:t>
              </w:r>
              <w:r w:rsidR="00C32B5D" w:rsidRPr="00116533">
                <w:rPr>
                  <w:rFonts w:ascii="Century" w:hAnsi="Century"/>
                  <w:color w:val="404040"/>
                </w:rPr>
                <w:t>200</w:t>
              </w:r>
              <w:r w:rsidR="001B5AE3" w:rsidRPr="00116533">
                <w:rPr>
                  <w:rFonts w:ascii="Century" w:hAnsi="Century"/>
                  <w:color w:val="404040"/>
                </w:rPr>
                <w:t>7</w:t>
              </w:r>
            </w:smartTag>
            <w:r w:rsidR="00C32B5D" w:rsidRPr="00116533">
              <w:rPr>
                <w:rFonts w:ascii="Century" w:hAnsi="Century"/>
                <w:color w:val="404040"/>
              </w:rPr>
              <w:t xml:space="preserve">, </w:t>
            </w:r>
            <w:r w:rsidR="001B5AE3" w:rsidRPr="00116533">
              <w:rPr>
                <w:rFonts w:ascii="Century" w:hAnsi="Century"/>
                <w:color w:val="404040"/>
              </w:rPr>
              <w:t>69</w:t>
            </w:r>
            <w:r w:rsidR="00C32B5D" w:rsidRPr="00116533">
              <w:rPr>
                <w:rFonts w:ascii="Century" w:hAnsi="Century"/>
                <w:color w:val="404040"/>
              </w:rPr>
              <w:t>% of the financial assets and financial investments for life insurance policy holders are blocked on behalf of Turkish Treasury to secure all liabilities regarding the insurance contracts of companies.</w:t>
            </w:r>
            <w:r w:rsidR="00AA43E9" w:rsidRPr="00116533">
              <w:rPr>
                <w:rFonts w:ascii="Century" w:hAnsi="Century"/>
                <w:color w:val="404040"/>
              </w:rPr>
              <w:t xml:space="preserve"> The remaining </w:t>
            </w:r>
            <w:r w:rsidR="001B5AE3" w:rsidRPr="00116533">
              <w:rPr>
                <w:rFonts w:ascii="Century" w:hAnsi="Century"/>
                <w:color w:val="404040"/>
              </w:rPr>
              <w:t>31</w:t>
            </w:r>
            <w:r w:rsidR="00AA43E9" w:rsidRPr="00116533">
              <w:rPr>
                <w:rFonts w:ascii="Century" w:hAnsi="Century"/>
                <w:color w:val="404040"/>
              </w:rPr>
              <w:t>% part consist</w:t>
            </w:r>
            <w:r w:rsidR="00096277" w:rsidRPr="00116533">
              <w:rPr>
                <w:rFonts w:ascii="Century" w:hAnsi="Century"/>
                <w:color w:val="404040"/>
              </w:rPr>
              <w:t>s</w:t>
            </w:r>
            <w:r w:rsidR="00AA43E9" w:rsidRPr="00116533">
              <w:rPr>
                <w:rFonts w:ascii="Century" w:hAnsi="Century"/>
                <w:color w:val="404040"/>
              </w:rPr>
              <w:t xml:space="preserve"> of asset in free portfolio.</w:t>
            </w:r>
          </w:p>
          <w:p w:rsidR="00C32B5D" w:rsidRPr="00367FA3" w:rsidRDefault="00C32B5D" w:rsidP="008D17FE">
            <w:pPr>
              <w:rPr>
                <w:rFonts w:ascii="Century" w:hAnsi="Century"/>
                <w:highlight w:val="yellow"/>
                <w:lang w:val="tr-TR"/>
              </w:rPr>
            </w:pPr>
          </w:p>
        </w:tc>
      </w:tr>
      <w:tr w:rsidR="006C6FA8" w:rsidRPr="00367FA3">
        <w:tc>
          <w:tcPr>
            <w:tcW w:w="9855" w:type="dxa"/>
            <w:gridSpan w:val="5"/>
          </w:tcPr>
          <w:p w:rsidR="0001780E" w:rsidRPr="001B5AE3" w:rsidRDefault="0001780E" w:rsidP="00AA43E9">
            <w:pPr>
              <w:pStyle w:val="ResimYazs"/>
              <w:jc w:val="center"/>
              <w:rPr>
                <w:rFonts w:ascii="Century" w:hAnsi="Century"/>
                <w:lang w:val="tr-TR"/>
              </w:rPr>
            </w:pPr>
            <w:bookmarkStart w:id="67" w:name="_Toc170665542"/>
            <w:r w:rsidRPr="001B5AE3">
              <w:rPr>
                <w:rFonts w:ascii="Century" w:hAnsi="Century"/>
                <w:lang w:val="tr-TR"/>
              </w:rPr>
              <w:t xml:space="preserve">Tablo </w:t>
            </w:r>
            <w:r w:rsidRPr="001B5AE3">
              <w:rPr>
                <w:rFonts w:ascii="Century" w:hAnsi="Century"/>
                <w:lang w:val="tr-TR"/>
              </w:rPr>
              <w:fldChar w:fldCharType="begin"/>
            </w:r>
            <w:r w:rsidRPr="001B5AE3">
              <w:rPr>
                <w:rFonts w:ascii="Century" w:hAnsi="Century"/>
                <w:lang w:val="tr-TR"/>
              </w:rPr>
              <w:instrText xml:space="preserve"> STYLEREF 2 \s </w:instrText>
            </w:r>
            <w:r w:rsidRPr="001B5AE3">
              <w:rPr>
                <w:rFonts w:ascii="Century" w:hAnsi="Century"/>
                <w:lang w:val="tr-TR"/>
              </w:rPr>
              <w:fldChar w:fldCharType="separate"/>
            </w:r>
            <w:r w:rsidR="00DA718E">
              <w:rPr>
                <w:rFonts w:ascii="Century" w:hAnsi="Century"/>
                <w:noProof/>
                <w:lang w:val="tr-TR"/>
              </w:rPr>
              <w:t>1.4</w:t>
            </w:r>
            <w:r w:rsidRPr="001B5AE3">
              <w:rPr>
                <w:rFonts w:ascii="Century" w:hAnsi="Century"/>
                <w:lang w:val="tr-TR"/>
              </w:rPr>
              <w:fldChar w:fldCharType="end"/>
            </w:r>
            <w:r w:rsidRPr="001B5AE3">
              <w:rPr>
                <w:rFonts w:ascii="Century" w:hAnsi="Century"/>
                <w:lang w:val="tr-TR"/>
              </w:rPr>
              <w:noBreakHyphen/>
            </w:r>
            <w:r w:rsidRPr="001B5AE3">
              <w:rPr>
                <w:rFonts w:ascii="Century" w:hAnsi="Century"/>
                <w:lang w:val="tr-TR"/>
              </w:rPr>
              <w:fldChar w:fldCharType="begin"/>
            </w:r>
            <w:r w:rsidRPr="001B5AE3">
              <w:rPr>
                <w:rFonts w:ascii="Century" w:hAnsi="Century"/>
                <w:lang w:val="tr-TR"/>
              </w:rPr>
              <w:instrText xml:space="preserve"> SEQ Tablo \* ARABIC \s 2 </w:instrText>
            </w:r>
            <w:r w:rsidRPr="001B5AE3">
              <w:rPr>
                <w:rFonts w:ascii="Century" w:hAnsi="Century"/>
                <w:lang w:val="tr-TR"/>
              </w:rPr>
              <w:fldChar w:fldCharType="separate"/>
            </w:r>
            <w:r w:rsidR="00DA718E">
              <w:rPr>
                <w:rFonts w:ascii="Century" w:hAnsi="Century"/>
                <w:noProof/>
                <w:lang w:val="tr-TR"/>
              </w:rPr>
              <w:t>7</w:t>
            </w:r>
            <w:r w:rsidRPr="001B5AE3">
              <w:rPr>
                <w:rFonts w:ascii="Century" w:hAnsi="Century"/>
                <w:lang w:val="tr-TR"/>
              </w:rPr>
              <w:fldChar w:fldCharType="end"/>
            </w:r>
            <w:r w:rsidRPr="001B5AE3">
              <w:rPr>
                <w:rFonts w:ascii="Century" w:hAnsi="Century"/>
                <w:lang w:val="tr-TR"/>
              </w:rPr>
              <w:t xml:space="preserve">; </w:t>
            </w:r>
            <w:r w:rsidRPr="001B5AE3">
              <w:rPr>
                <w:rFonts w:ascii="Century" w:hAnsi="Century"/>
                <w:bCs w:val="0"/>
                <w:lang w:val="tr-TR"/>
              </w:rPr>
              <w:t xml:space="preserve">Serbest/Bloke Ayrımı – </w:t>
            </w:r>
            <w:r w:rsidRPr="001B5AE3">
              <w:rPr>
                <w:rFonts w:ascii="Century" w:hAnsi="Century"/>
                <w:b w:val="0"/>
                <w:i/>
                <w:iCs/>
                <w:lang w:val="tr-TR"/>
              </w:rPr>
              <w:t>Distr. of Financial Assets as Free/Blocked</w:t>
            </w:r>
            <w:bookmarkEnd w:id="67"/>
          </w:p>
          <w:p w:rsidR="006C6FA8" w:rsidRPr="00927E0F" w:rsidRDefault="00927E0F" w:rsidP="00AA43E9">
            <w:pPr>
              <w:jc w:val="center"/>
              <w:rPr>
                <w:rFonts w:ascii="Century" w:hAnsi="Century"/>
                <w:highlight w:val="yellow"/>
                <w:lang w:val="tr-TR"/>
              </w:rPr>
            </w:pPr>
            <w:r w:rsidRPr="00927E0F">
              <w:rPr>
                <w:rFonts w:ascii="Century" w:hAnsi="Century"/>
                <w:lang w:val="tr-TR"/>
              </w:rPr>
              <w:pict>
                <v:shape id="_x0000_i1059" type="#_x0000_t75" style="width:318pt;height:69.75pt">
                  <v:imagedata r:id="rId49" o:title=""/>
                </v:shape>
              </w:pict>
            </w:r>
          </w:p>
        </w:tc>
      </w:tr>
      <w:tr w:rsidR="00D35446" w:rsidRPr="00367FA3">
        <w:tc>
          <w:tcPr>
            <w:tcW w:w="4815" w:type="dxa"/>
            <w:gridSpan w:val="2"/>
          </w:tcPr>
          <w:p w:rsidR="000355EE" w:rsidRPr="00367FA3" w:rsidRDefault="000355EE" w:rsidP="008D17FE">
            <w:pPr>
              <w:jc w:val="both"/>
              <w:rPr>
                <w:rFonts w:ascii="Century" w:hAnsi="Century"/>
                <w:highlight w:val="yellow"/>
                <w:lang w:val="tr-TR"/>
              </w:rPr>
            </w:pPr>
          </w:p>
          <w:p w:rsidR="00425B24" w:rsidRPr="00FD6EF5" w:rsidRDefault="00425B24" w:rsidP="008D17FE">
            <w:pPr>
              <w:jc w:val="both"/>
              <w:rPr>
                <w:rFonts w:ascii="Century" w:hAnsi="Century"/>
                <w:lang w:val="tr-TR"/>
              </w:rPr>
            </w:pPr>
          </w:p>
          <w:p w:rsidR="0001780E" w:rsidRPr="00FD6EF5" w:rsidRDefault="0001780E" w:rsidP="008D17FE">
            <w:pPr>
              <w:jc w:val="both"/>
              <w:rPr>
                <w:rFonts w:ascii="Century" w:hAnsi="Century"/>
                <w:lang w:val="tr-TR"/>
              </w:rPr>
            </w:pPr>
            <w:r w:rsidRPr="00FD6EF5">
              <w:rPr>
                <w:rFonts w:ascii="Century" w:hAnsi="Century"/>
                <w:lang w:val="tr-TR"/>
              </w:rPr>
              <w:t>Finansal varlıkların yatırım araçları bazında dağılımı incelendiğinde, kamu borçlanma senetlerinin ağırlık</w:t>
            </w:r>
            <w:r w:rsidR="00096277" w:rsidRPr="00FD6EF5">
              <w:rPr>
                <w:rFonts w:ascii="Century" w:hAnsi="Century"/>
                <w:lang w:val="tr-TR"/>
              </w:rPr>
              <w:t>ta</w:t>
            </w:r>
            <w:r w:rsidR="00CF441B">
              <w:rPr>
                <w:rFonts w:ascii="Century" w:hAnsi="Century"/>
                <w:lang w:val="tr-TR"/>
              </w:rPr>
              <w:t xml:space="preserve"> olduğu ve</w:t>
            </w:r>
            <w:r w:rsidRPr="00FD6EF5">
              <w:rPr>
                <w:rFonts w:ascii="Century" w:hAnsi="Century"/>
                <w:lang w:val="tr-TR"/>
              </w:rPr>
              <w:t xml:space="preserve"> </w:t>
            </w:r>
            <w:r w:rsidR="00096277" w:rsidRPr="00FD6EF5">
              <w:rPr>
                <w:rFonts w:ascii="Century" w:hAnsi="Century"/>
                <w:lang w:val="tr-TR"/>
              </w:rPr>
              <w:t xml:space="preserve">bunu </w:t>
            </w:r>
            <w:r w:rsidRPr="00FD6EF5">
              <w:rPr>
                <w:rFonts w:ascii="Century" w:hAnsi="Century"/>
                <w:lang w:val="tr-TR"/>
              </w:rPr>
              <w:t xml:space="preserve">hisse senetlerinin takip ettiği görülmektedir. </w:t>
            </w:r>
          </w:p>
          <w:p w:rsidR="00C32B5D" w:rsidRPr="00367FA3" w:rsidRDefault="00C32B5D" w:rsidP="008D17FE">
            <w:pPr>
              <w:jc w:val="both"/>
              <w:rPr>
                <w:rFonts w:ascii="Century" w:hAnsi="Century"/>
                <w:highlight w:val="yellow"/>
                <w:lang w:val="tr-TR"/>
              </w:rPr>
            </w:pPr>
          </w:p>
          <w:p w:rsidR="0002634F" w:rsidRPr="00367FA3" w:rsidRDefault="0002634F"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367FA3" w:rsidRDefault="00D35446" w:rsidP="008D17FE">
            <w:pPr>
              <w:rPr>
                <w:rFonts w:ascii="Century" w:hAnsi="Century"/>
                <w:highlight w:val="yellow"/>
                <w:lang w:val="tr-TR"/>
              </w:rPr>
            </w:pPr>
          </w:p>
          <w:p w:rsidR="00447AFE" w:rsidRPr="00C43A16" w:rsidRDefault="00447AFE" w:rsidP="00C32B5D">
            <w:pPr>
              <w:jc w:val="both"/>
              <w:rPr>
                <w:rFonts w:ascii="Century" w:hAnsi="Century"/>
                <w:color w:val="808080"/>
                <w:lang w:val="tr-TR"/>
              </w:rPr>
            </w:pPr>
          </w:p>
          <w:p w:rsidR="00C32B5D" w:rsidRPr="00A41A00" w:rsidRDefault="007A33BC" w:rsidP="00C32B5D">
            <w:pPr>
              <w:jc w:val="both"/>
              <w:rPr>
                <w:rFonts w:ascii="Century" w:hAnsi="Century"/>
                <w:color w:val="404040"/>
              </w:rPr>
            </w:pPr>
            <w:r w:rsidRPr="00A41A00">
              <w:rPr>
                <w:rFonts w:ascii="Century" w:hAnsi="Century"/>
                <w:color w:val="404040"/>
              </w:rPr>
              <w:t xml:space="preserve">According to </w:t>
            </w:r>
            <w:r w:rsidR="00E24467" w:rsidRPr="00A41A00">
              <w:rPr>
                <w:rFonts w:ascii="Century" w:hAnsi="Century"/>
                <w:color w:val="404040"/>
              </w:rPr>
              <w:t>T</w:t>
            </w:r>
            <w:r w:rsidRPr="00A41A00">
              <w:rPr>
                <w:rFonts w:ascii="Century" w:hAnsi="Century"/>
                <w:color w:val="404040"/>
              </w:rPr>
              <w:t>able 1.4-8, g</w:t>
            </w:r>
            <w:r w:rsidR="00C32B5D" w:rsidRPr="00A41A00">
              <w:rPr>
                <w:rFonts w:ascii="Century" w:hAnsi="Century"/>
                <w:color w:val="404040"/>
              </w:rPr>
              <w:t>overnment bonds and treasury bills are the most common financial instruments used as investment and followed by stocks.</w:t>
            </w:r>
          </w:p>
          <w:p w:rsidR="00C32B5D" w:rsidRPr="00367FA3" w:rsidRDefault="00C32B5D" w:rsidP="008D17FE">
            <w:pPr>
              <w:rPr>
                <w:rFonts w:ascii="Century" w:hAnsi="Century"/>
                <w:highlight w:val="yellow"/>
                <w:lang w:val="tr-TR"/>
              </w:rPr>
            </w:pPr>
          </w:p>
        </w:tc>
      </w:tr>
      <w:tr w:rsidR="006C6FA8" w:rsidRPr="00367FA3">
        <w:tc>
          <w:tcPr>
            <w:tcW w:w="9855" w:type="dxa"/>
            <w:gridSpan w:val="5"/>
          </w:tcPr>
          <w:p w:rsidR="0001780E" w:rsidRPr="00FD6EF5" w:rsidRDefault="0001780E" w:rsidP="00FC2C57">
            <w:pPr>
              <w:pStyle w:val="ResimYazs"/>
              <w:jc w:val="center"/>
              <w:rPr>
                <w:rFonts w:ascii="Century" w:hAnsi="Century"/>
                <w:b w:val="0"/>
                <w:lang w:val="tr-TR"/>
              </w:rPr>
            </w:pPr>
            <w:bookmarkStart w:id="68" w:name="_Toc170665543"/>
            <w:r w:rsidRPr="00FD6EF5">
              <w:rPr>
                <w:rFonts w:ascii="Century" w:hAnsi="Century"/>
                <w:lang w:val="tr-TR"/>
              </w:rPr>
              <w:t xml:space="preserve">Tablo </w:t>
            </w:r>
            <w:r w:rsidRPr="00FD6EF5">
              <w:rPr>
                <w:rFonts w:ascii="Century" w:hAnsi="Century"/>
                <w:lang w:val="tr-TR"/>
              </w:rPr>
              <w:fldChar w:fldCharType="begin"/>
            </w:r>
            <w:r w:rsidRPr="00FD6EF5">
              <w:rPr>
                <w:rFonts w:ascii="Century" w:hAnsi="Century"/>
                <w:lang w:val="tr-TR"/>
              </w:rPr>
              <w:instrText xml:space="preserve"> STYLEREF 2 \s </w:instrText>
            </w:r>
            <w:r w:rsidRPr="00FD6EF5">
              <w:rPr>
                <w:rFonts w:ascii="Century" w:hAnsi="Century"/>
                <w:lang w:val="tr-TR"/>
              </w:rPr>
              <w:fldChar w:fldCharType="separate"/>
            </w:r>
            <w:r w:rsidR="00DA718E">
              <w:rPr>
                <w:rFonts w:ascii="Century" w:hAnsi="Century"/>
                <w:noProof/>
                <w:lang w:val="tr-TR"/>
              </w:rPr>
              <w:t>1.4</w:t>
            </w:r>
            <w:r w:rsidRPr="00FD6EF5">
              <w:rPr>
                <w:rFonts w:ascii="Century" w:hAnsi="Century"/>
                <w:lang w:val="tr-TR"/>
              </w:rPr>
              <w:fldChar w:fldCharType="end"/>
            </w:r>
            <w:r w:rsidRPr="00FD6EF5">
              <w:rPr>
                <w:rFonts w:ascii="Century" w:hAnsi="Century"/>
                <w:lang w:val="tr-TR"/>
              </w:rPr>
              <w:noBreakHyphen/>
            </w:r>
            <w:r w:rsidRPr="00FD6EF5">
              <w:rPr>
                <w:rFonts w:ascii="Century" w:hAnsi="Century"/>
                <w:lang w:val="tr-TR"/>
              </w:rPr>
              <w:fldChar w:fldCharType="begin"/>
            </w:r>
            <w:r w:rsidRPr="00FD6EF5">
              <w:rPr>
                <w:rFonts w:ascii="Century" w:hAnsi="Century"/>
                <w:lang w:val="tr-TR"/>
              </w:rPr>
              <w:instrText xml:space="preserve"> SEQ Tablo \* ARABIC \s 2 </w:instrText>
            </w:r>
            <w:r w:rsidRPr="00FD6EF5">
              <w:rPr>
                <w:rFonts w:ascii="Century" w:hAnsi="Century"/>
                <w:lang w:val="tr-TR"/>
              </w:rPr>
              <w:fldChar w:fldCharType="separate"/>
            </w:r>
            <w:r w:rsidR="00DA718E">
              <w:rPr>
                <w:rFonts w:ascii="Century" w:hAnsi="Century"/>
                <w:noProof/>
                <w:lang w:val="tr-TR"/>
              </w:rPr>
              <w:t>8</w:t>
            </w:r>
            <w:r w:rsidRPr="00FD6EF5">
              <w:rPr>
                <w:rFonts w:ascii="Century" w:hAnsi="Century"/>
                <w:lang w:val="tr-TR"/>
              </w:rPr>
              <w:fldChar w:fldCharType="end"/>
            </w:r>
            <w:r w:rsidRPr="00FD6EF5">
              <w:rPr>
                <w:rFonts w:ascii="Century" w:hAnsi="Century"/>
                <w:lang w:val="tr-TR"/>
              </w:rPr>
              <w:t xml:space="preserve">; </w:t>
            </w:r>
            <w:r w:rsidRPr="00FD6EF5">
              <w:rPr>
                <w:rFonts w:ascii="Century" w:hAnsi="Century"/>
                <w:bCs w:val="0"/>
                <w:lang w:val="tr-TR"/>
              </w:rPr>
              <w:t>F</w:t>
            </w:r>
            <w:r w:rsidR="00FC2C57">
              <w:rPr>
                <w:rFonts w:ascii="Century" w:hAnsi="Century"/>
                <w:bCs w:val="0"/>
                <w:lang w:val="tr-TR"/>
              </w:rPr>
              <w:t xml:space="preserve">inansal </w:t>
            </w:r>
            <w:r w:rsidRPr="00FD6EF5">
              <w:rPr>
                <w:rFonts w:ascii="Century" w:hAnsi="Century"/>
                <w:bCs w:val="0"/>
                <w:lang w:val="tr-TR"/>
              </w:rPr>
              <w:t>V</w:t>
            </w:r>
            <w:r w:rsidR="00FC2C57">
              <w:rPr>
                <w:rFonts w:ascii="Century" w:hAnsi="Century"/>
                <w:bCs w:val="0"/>
                <w:lang w:val="tr-TR"/>
              </w:rPr>
              <w:t>arlıkların Dağılımı</w:t>
            </w:r>
            <w:r w:rsidRPr="00FD6EF5">
              <w:rPr>
                <w:rFonts w:ascii="Century" w:hAnsi="Century"/>
                <w:bCs w:val="0"/>
                <w:lang w:val="tr-TR"/>
              </w:rPr>
              <w:t xml:space="preserve"> - </w:t>
            </w:r>
            <w:r w:rsidRPr="00FD6EF5">
              <w:rPr>
                <w:rFonts w:ascii="Century" w:hAnsi="Century"/>
                <w:b w:val="0"/>
                <w:i/>
                <w:iCs/>
                <w:lang w:val="tr-TR"/>
              </w:rPr>
              <w:t>Financial Assets</w:t>
            </w:r>
            <w:bookmarkEnd w:id="68"/>
          </w:p>
          <w:p w:rsidR="006C6FA8" w:rsidRPr="00FC2C57" w:rsidRDefault="00FC2C57" w:rsidP="00AA43E9">
            <w:pPr>
              <w:jc w:val="center"/>
              <w:rPr>
                <w:rFonts w:ascii="Century" w:hAnsi="Century"/>
                <w:highlight w:val="yellow"/>
                <w:lang w:val="tr-TR"/>
              </w:rPr>
            </w:pPr>
            <w:r w:rsidRPr="00FC2C57">
              <w:rPr>
                <w:rFonts w:ascii="Century" w:hAnsi="Century"/>
                <w:lang w:val="tr-TR"/>
              </w:rPr>
              <w:pict>
                <v:shape id="_x0000_i1060" type="#_x0000_t75" style="width:481.5pt;height:96pt">
                  <v:imagedata r:id="rId50" o:title=""/>
                </v:shape>
              </w:pict>
            </w:r>
          </w:p>
        </w:tc>
      </w:tr>
      <w:tr w:rsidR="00D35446" w:rsidRPr="00367FA3">
        <w:tc>
          <w:tcPr>
            <w:tcW w:w="4815" w:type="dxa"/>
            <w:gridSpan w:val="2"/>
          </w:tcPr>
          <w:p w:rsidR="0002634F" w:rsidRDefault="0002634F" w:rsidP="008D17FE">
            <w:pPr>
              <w:jc w:val="both"/>
              <w:rPr>
                <w:rFonts w:ascii="Century" w:hAnsi="Century"/>
                <w:highlight w:val="yellow"/>
                <w:lang w:val="tr-TR"/>
              </w:rPr>
            </w:pPr>
          </w:p>
          <w:p w:rsidR="00D94069" w:rsidRDefault="00D94069" w:rsidP="008D17FE">
            <w:pPr>
              <w:jc w:val="both"/>
              <w:rPr>
                <w:rFonts w:ascii="Century" w:hAnsi="Century"/>
                <w:highlight w:val="yellow"/>
                <w:lang w:val="tr-TR"/>
              </w:rPr>
            </w:pPr>
          </w:p>
          <w:p w:rsidR="00FC2C57" w:rsidRDefault="00FC2C57" w:rsidP="008D17FE">
            <w:pPr>
              <w:jc w:val="both"/>
              <w:rPr>
                <w:rFonts w:ascii="Century" w:hAnsi="Century"/>
                <w:highlight w:val="yellow"/>
                <w:lang w:val="tr-TR"/>
              </w:rPr>
            </w:pPr>
          </w:p>
          <w:p w:rsidR="00FC2C57" w:rsidRPr="00367FA3" w:rsidRDefault="00FC2C57" w:rsidP="008D17FE">
            <w:pPr>
              <w:jc w:val="both"/>
              <w:rPr>
                <w:rFonts w:ascii="Century" w:hAnsi="Century"/>
                <w:highlight w:val="yellow"/>
                <w:lang w:val="tr-TR"/>
              </w:rPr>
            </w:pPr>
          </w:p>
          <w:p w:rsidR="0001780E" w:rsidRPr="002159D3" w:rsidRDefault="0001780E" w:rsidP="008D17FE">
            <w:pPr>
              <w:jc w:val="both"/>
              <w:rPr>
                <w:rFonts w:ascii="Century" w:hAnsi="Century"/>
                <w:lang w:val="tr-TR"/>
              </w:rPr>
            </w:pPr>
            <w:r w:rsidRPr="002159D3">
              <w:rPr>
                <w:rFonts w:ascii="Century" w:hAnsi="Century"/>
                <w:lang w:val="tr-TR"/>
              </w:rPr>
              <w:lastRenderedPageBreak/>
              <w:t xml:space="preserve">Sigorta şirketlerinin </w:t>
            </w:r>
            <w:r w:rsidR="005538C7" w:rsidRPr="002159D3">
              <w:rPr>
                <w:rFonts w:ascii="Century" w:hAnsi="Century"/>
                <w:lang w:val="tr-TR"/>
              </w:rPr>
              <w:t>2007</w:t>
            </w:r>
            <w:r w:rsidR="00AA43E9" w:rsidRPr="002159D3">
              <w:rPr>
                <w:rFonts w:ascii="Century" w:hAnsi="Century"/>
                <w:lang w:val="tr-TR"/>
              </w:rPr>
              <w:t xml:space="preserve"> yıl sonu itibariyle mevcut </w:t>
            </w:r>
            <w:r w:rsidR="00096277" w:rsidRPr="002159D3">
              <w:rPr>
                <w:rFonts w:ascii="Century" w:hAnsi="Century"/>
                <w:lang w:val="tr-TR"/>
              </w:rPr>
              <w:t xml:space="preserve">esas faaliyetlerden </w:t>
            </w:r>
            <w:r w:rsidRPr="002159D3">
              <w:rPr>
                <w:rFonts w:ascii="Century" w:hAnsi="Century"/>
                <w:lang w:val="tr-TR"/>
              </w:rPr>
              <w:t xml:space="preserve"> alacaklarının %</w:t>
            </w:r>
            <w:r w:rsidR="002547A1" w:rsidRPr="002159D3">
              <w:rPr>
                <w:rFonts w:ascii="Century" w:hAnsi="Century"/>
                <w:lang w:val="tr-TR"/>
              </w:rPr>
              <w:t xml:space="preserve"> </w:t>
            </w:r>
            <w:r w:rsidR="005538C7" w:rsidRPr="002159D3">
              <w:rPr>
                <w:rFonts w:ascii="Century" w:hAnsi="Century"/>
                <w:lang w:val="tr-TR"/>
              </w:rPr>
              <w:t>54</w:t>
            </w:r>
            <w:r w:rsidRPr="002159D3">
              <w:rPr>
                <w:rFonts w:ascii="Century" w:hAnsi="Century"/>
                <w:lang w:val="tr-TR"/>
              </w:rPr>
              <w:t xml:space="preserve">’ünü sigortacılık faaliyetlerinden olan alacaklar oluşturmaktadır. </w:t>
            </w:r>
            <w:r w:rsidR="00AA43E9" w:rsidRPr="002159D3">
              <w:rPr>
                <w:rFonts w:ascii="Century" w:hAnsi="Century"/>
                <w:lang w:val="tr-TR"/>
              </w:rPr>
              <w:t xml:space="preserve">Söz konusu alacaklar içinde ise sigortalılardan </w:t>
            </w:r>
            <w:r w:rsidRPr="002159D3">
              <w:rPr>
                <w:rFonts w:ascii="Century" w:hAnsi="Century"/>
                <w:lang w:val="tr-TR"/>
              </w:rPr>
              <w:t xml:space="preserve">ve özellikle aracılardan olan alacaklar önemli bir yer tutmaktadır. Ülkemizde sigorta prim üretiminin </w:t>
            </w:r>
            <w:r w:rsidR="002159D3" w:rsidRPr="002159D3">
              <w:rPr>
                <w:rFonts w:ascii="Century" w:hAnsi="Century"/>
                <w:lang w:val="tr-TR"/>
              </w:rPr>
              <w:t>büyük kısmının (2007 yılı için %91)</w:t>
            </w:r>
            <w:r w:rsidRPr="002159D3">
              <w:rPr>
                <w:rFonts w:ascii="Century" w:hAnsi="Century"/>
                <w:lang w:val="tr-TR"/>
              </w:rPr>
              <w:t xml:space="preserve"> aracılar vasıtasıyla gerçekleştiril</w:t>
            </w:r>
            <w:r w:rsidR="002159D3" w:rsidRPr="002159D3">
              <w:rPr>
                <w:rFonts w:ascii="Century" w:hAnsi="Century"/>
                <w:lang w:val="tr-TR"/>
              </w:rPr>
              <w:t>-</w:t>
            </w:r>
            <w:r w:rsidRPr="002159D3">
              <w:rPr>
                <w:rFonts w:ascii="Century" w:hAnsi="Century"/>
                <w:lang w:val="tr-TR"/>
              </w:rPr>
              <w:t>diği dikkate alındığında</w:t>
            </w:r>
            <w:r w:rsidR="00AA43E9" w:rsidRPr="002159D3">
              <w:rPr>
                <w:rFonts w:ascii="Century" w:hAnsi="Century"/>
                <w:lang w:val="tr-TR"/>
              </w:rPr>
              <w:t>,</w:t>
            </w:r>
            <w:r w:rsidRPr="002159D3">
              <w:rPr>
                <w:rFonts w:ascii="Century" w:hAnsi="Century"/>
                <w:lang w:val="tr-TR"/>
              </w:rPr>
              <w:t xml:space="preserve"> aracılardan olan </w:t>
            </w:r>
            <w:r w:rsidR="002159D3" w:rsidRPr="002159D3">
              <w:rPr>
                <w:rFonts w:ascii="Century" w:hAnsi="Century"/>
                <w:lang w:val="tr-TR"/>
              </w:rPr>
              <w:t>a</w:t>
            </w:r>
            <w:r w:rsidRPr="002159D3">
              <w:rPr>
                <w:rFonts w:ascii="Century" w:hAnsi="Century"/>
                <w:lang w:val="tr-TR"/>
              </w:rPr>
              <w:t xml:space="preserve">lacakların toplam alacaklar içinde </w:t>
            </w:r>
            <w:r w:rsidR="002159D3" w:rsidRPr="002159D3">
              <w:rPr>
                <w:rFonts w:ascii="Century" w:hAnsi="Century"/>
                <w:lang w:val="tr-TR"/>
              </w:rPr>
              <w:t>önemli paya</w:t>
            </w:r>
            <w:r w:rsidRPr="002159D3">
              <w:rPr>
                <w:rFonts w:ascii="Century" w:hAnsi="Century"/>
                <w:lang w:val="tr-TR"/>
              </w:rPr>
              <w:t xml:space="preserve"> sahip olması olağan kabul edilmektedir.</w:t>
            </w:r>
          </w:p>
          <w:p w:rsidR="0001780E" w:rsidRPr="002159D3" w:rsidRDefault="0001780E" w:rsidP="008D17FE">
            <w:pPr>
              <w:jc w:val="both"/>
              <w:rPr>
                <w:rFonts w:ascii="Century" w:hAnsi="Century"/>
                <w:lang w:val="tr-TR"/>
              </w:rPr>
            </w:pPr>
          </w:p>
          <w:p w:rsidR="0001780E" w:rsidRPr="002159D3" w:rsidRDefault="0001780E" w:rsidP="008D17FE">
            <w:pPr>
              <w:jc w:val="both"/>
              <w:rPr>
                <w:rFonts w:ascii="Century" w:hAnsi="Century"/>
                <w:lang w:val="tr-TR"/>
              </w:rPr>
            </w:pPr>
            <w:r w:rsidRPr="002159D3">
              <w:rPr>
                <w:rFonts w:ascii="Century" w:hAnsi="Century"/>
                <w:lang w:val="tr-TR"/>
              </w:rPr>
              <w:t>Hayat dışı sigorta şirketlerinin prim alacaklarının %</w:t>
            </w:r>
            <w:r w:rsidR="002547A1" w:rsidRPr="002159D3">
              <w:rPr>
                <w:rFonts w:ascii="Century" w:hAnsi="Century"/>
                <w:lang w:val="tr-TR"/>
              </w:rPr>
              <w:t xml:space="preserve"> </w:t>
            </w:r>
            <w:r w:rsidR="002159D3" w:rsidRPr="002159D3">
              <w:rPr>
                <w:rFonts w:ascii="Century" w:hAnsi="Century"/>
                <w:lang w:val="tr-TR"/>
              </w:rPr>
              <w:t>81</w:t>
            </w:r>
            <w:r w:rsidRPr="002159D3">
              <w:rPr>
                <w:rFonts w:ascii="Century" w:hAnsi="Century"/>
                <w:lang w:val="tr-TR"/>
              </w:rPr>
              <w:t>’</w:t>
            </w:r>
            <w:r w:rsidR="002159D3" w:rsidRPr="002159D3">
              <w:rPr>
                <w:rFonts w:ascii="Century" w:hAnsi="Century"/>
                <w:lang w:val="tr-TR"/>
              </w:rPr>
              <w:t>ini</w:t>
            </w:r>
            <w:r w:rsidRPr="002159D3">
              <w:rPr>
                <w:rFonts w:ascii="Century" w:hAnsi="Century"/>
                <w:lang w:val="tr-TR"/>
              </w:rPr>
              <w:t xml:space="preserve"> aracılardan olan prim alacakları oluştururken, hayat şirketlerinde bu oran sistemin yapısı gereği %</w:t>
            </w:r>
            <w:r w:rsidR="002547A1" w:rsidRPr="002159D3">
              <w:rPr>
                <w:rFonts w:ascii="Century" w:hAnsi="Century"/>
                <w:lang w:val="tr-TR"/>
              </w:rPr>
              <w:t xml:space="preserve"> </w:t>
            </w:r>
            <w:r w:rsidRPr="002159D3">
              <w:rPr>
                <w:rFonts w:ascii="Century" w:hAnsi="Century"/>
                <w:lang w:val="tr-TR"/>
              </w:rPr>
              <w:t>1</w:t>
            </w:r>
            <w:r w:rsidR="002159D3" w:rsidRPr="002159D3">
              <w:rPr>
                <w:rFonts w:ascii="Century" w:hAnsi="Century"/>
                <w:lang w:val="tr-TR"/>
              </w:rPr>
              <w:t xml:space="preserve">0’a </w:t>
            </w:r>
            <w:r w:rsidRPr="002159D3">
              <w:rPr>
                <w:rFonts w:ascii="Century" w:hAnsi="Century"/>
                <w:lang w:val="tr-TR"/>
              </w:rPr>
              <w:t>gerile</w:t>
            </w:r>
            <w:r w:rsidR="00096277" w:rsidRPr="002159D3">
              <w:rPr>
                <w:rFonts w:ascii="Century" w:hAnsi="Century"/>
                <w:lang w:val="tr-TR"/>
              </w:rPr>
              <w:t xml:space="preserve">mekte ve  </w:t>
            </w:r>
            <w:r w:rsidRPr="002159D3">
              <w:rPr>
                <w:rFonts w:ascii="Century" w:hAnsi="Century"/>
                <w:lang w:val="tr-TR"/>
              </w:rPr>
              <w:t>sigortalılardan olan alacaklar %</w:t>
            </w:r>
            <w:r w:rsidR="002547A1" w:rsidRPr="002159D3">
              <w:rPr>
                <w:rFonts w:ascii="Century" w:hAnsi="Century"/>
                <w:lang w:val="tr-TR"/>
              </w:rPr>
              <w:t xml:space="preserve"> </w:t>
            </w:r>
            <w:r w:rsidR="002159D3" w:rsidRPr="002159D3">
              <w:rPr>
                <w:rFonts w:ascii="Century" w:hAnsi="Century"/>
                <w:lang w:val="tr-TR"/>
              </w:rPr>
              <w:t>79</w:t>
            </w:r>
            <w:r w:rsidRPr="002159D3">
              <w:rPr>
                <w:rFonts w:ascii="Century" w:hAnsi="Century"/>
                <w:lang w:val="tr-TR"/>
              </w:rPr>
              <w:t xml:space="preserve">’a </w:t>
            </w:r>
            <w:r w:rsidR="00096277" w:rsidRPr="002159D3">
              <w:rPr>
                <w:rFonts w:ascii="Century" w:hAnsi="Century"/>
                <w:lang w:val="tr-TR"/>
              </w:rPr>
              <w:t>yükselmektedir.</w:t>
            </w:r>
          </w:p>
          <w:p w:rsidR="0001780E" w:rsidRPr="002159D3" w:rsidRDefault="0001780E" w:rsidP="008D17FE">
            <w:pPr>
              <w:jc w:val="both"/>
              <w:rPr>
                <w:rFonts w:ascii="Century" w:hAnsi="Century"/>
                <w:lang w:val="tr-TR"/>
              </w:rPr>
            </w:pPr>
          </w:p>
          <w:p w:rsidR="00D35446" w:rsidRDefault="00D35446" w:rsidP="008D17FE">
            <w:pPr>
              <w:rPr>
                <w:rFonts w:ascii="Century" w:hAnsi="Century"/>
                <w:highlight w:val="yellow"/>
                <w:lang w:val="tr-TR"/>
              </w:rPr>
            </w:pPr>
          </w:p>
          <w:p w:rsidR="00927E0F" w:rsidRPr="00367FA3" w:rsidRDefault="00927E0F"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367FA3" w:rsidRDefault="00D35446" w:rsidP="008D17FE">
            <w:pPr>
              <w:rPr>
                <w:rFonts w:ascii="Century" w:hAnsi="Century"/>
                <w:highlight w:val="yellow"/>
                <w:lang w:val="tr-TR"/>
              </w:rPr>
            </w:pPr>
          </w:p>
          <w:p w:rsidR="00425B24" w:rsidRDefault="00425B24" w:rsidP="008D17FE">
            <w:pPr>
              <w:rPr>
                <w:rFonts w:ascii="Century" w:hAnsi="Century"/>
                <w:highlight w:val="yellow"/>
                <w:lang w:val="tr-TR"/>
              </w:rPr>
            </w:pPr>
          </w:p>
          <w:p w:rsidR="00D94069" w:rsidRDefault="00D94069" w:rsidP="008D17FE">
            <w:pPr>
              <w:rPr>
                <w:rFonts w:ascii="Century" w:hAnsi="Century"/>
                <w:highlight w:val="yellow"/>
                <w:lang w:val="tr-TR"/>
              </w:rPr>
            </w:pPr>
          </w:p>
          <w:p w:rsidR="00FC2C57" w:rsidRDefault="00FC2C57" w:rsidP="008D17FE">
            <w:pPr>
              <w:rPr>
                <w:rFonts w:ascii="Century" w:hAnsi="Century"/>
                <w:highlight w:val="yellow"/>
                <w:lang w:val="tr-TR"/>
              </w:rPr>
            </w:pPr>
          </w:p>
          <w:p w:rsidR="0089736C" w:rsidRPr="00A41A00" w:rsidRDefault="0089736C" w:rsidP="0089736C">
            <w:pPr>
              <w:jc w:val="both"/>
              <w:rPr>
                <w:rFonts w:ascii="Century" w:hAnsi="Century"/>
                <w:color w:val="404040"/>
              </w:rPr>
            </w:pPr>
            <w:r w:rsidRPr="00A41A00">
              <w:rPr>
                <w:rFonts w:ascii="Century" w:hAnsi="Century"/>
                <w:color w:val="404040"/>
              </w:rPr>
              <w:lastRenderedPageBreak/>
              <w:t>The receivables fro</w:t>
            </w:r>
            <w:r w:rsidR="005538C7" w:rsidRPr="00A41A00">
              <w:rPr>
                <w:rFonts w:ascii="Century" w:hAnsi="Century"/>
                <w:color w:val="404040"/>
              </w:rPr>
              <w:t>m insurance activities compose 54</w:t>
            </w:r>
            <w:r w:rsidRPr="00A41A00">
              <w:rPr>
                <w:rFonts w:ascii="Century" w:hAnsi="Century"/>
                <w:color w:val="404040"/>
              </w:rPr>
              <w:t xml:space="preserve">% of the receivables from operations </w:t>
            </w:r>
            <w:r w:rsidR="007A33BC" w:rsidRPr="00A41A00">
              <w:rPr>
                <w:rFonts w:ascii="Century" w:hAnsi="Century"/>
                <w:color w:val="404040"/>
              </w:rPr>
              <w:t>of insurance companies. As at 12.31.</w:t>
            </w:r>
            <w:r w:rsidR="005538C7" w:rsidRPr="00A41A00">
              <w:rPr>
                <w:rFonts w:ascii="Century" w:hAnsi="Century"/>
                <w:color w:val="404040"/>
              </w:rPr>
              <w:t>2007</w:t>
            </w:r>
            <w:r w:rsidRPr="00A41A00">
              <w:rPr>
                <w:rFonts w:ascii="Century" w:hAnsi="Century"/>
                <w:color w:val="404040"/>
              </w:rPr>
              <w:t>, the receiva</w:t>
            </w:r>
            <w:r w:rsidR="00BC43D3" w:rsidRPr="00A41A00">
              <w:rPr>
                <w:rFonts w:ascii="Century" w:hAnsi="Century"/>
                <w:color w:val="404040"/>
              </w:rPr>
              <w:t>bles from intermediaries</w:t>
            </w:r>
            <w:r w:rsidRPr="00A41A00">
              <w:rPr>
                <w:rFonts w:ascii="Century" w:hAnsi="Century"/>
                <w:color w:val="404040"/>
              </w:rPr>
              <w:t xml:space="preserve"> have the largest share in the receivables from insurance trade activities. Since approximately </w:t>
            </w:r>
            <w:r w:rsidR="002159D3" w:rsidRPr="00A41A00">
              <w:rPr>
                <w:rFonts w:ascii="Century" w:hAnsi="Century"/>
                <w:color w:val="404040"/>
              </w:rPr>
              <w:t>91</w:t>
            </w:r>
            <w:r w:rsidRPr="00A41A00">
              <w:rPr>
                <w:rFonts w:ascii="Century" w:hAnsi="Century"/>
                <w:color w:val="404040"/>
              </w:rPr>
              <w:t xml:space="preserve">% of the insurance premium volume is implemented by </w:t>
            </w:r>
            <w:r w:rsidR="00BC43D3" w:rsidRPr="00A41A00">
              <w:rPr>
                <w:rFonts w:ascii="Century" w:hAnsi="Century"/>
                <w:color w:val="404040"/>
              </w:rPr>
              <w:t xml:space="preserve">intermediaries </w:t>
            </w:r>
            <w:r w:rsidRPr="00A41A00">
              <w:rPr>
                <w:rFonts w:ascii="Century" w:hAnsi="Century"/>
                <w:color w:val="404040"/>
              </w:rPr>
              <w:t>in our country, it is regarded consistent that premium receivables from</w:t>
            </w:r>
            <w:r w:rsidR="00BC43D3" w:rsidRPr="00A41A00">
              <w:rPr>
                <w:rFonts w:ascii="Century" w:hAnsi="Century"/>
                <w:color w:val="404040"/>
              </w:rPr>
              <w:t xml:space="preserve"> intermediaries </w:t>
            </w:r>
            <w:r w:rsidR="009F1997" w:rsidRPr="00A41A00">
              <w:rPr>
                <w:rFonts w:ascii="Century" w:hAnsi="Century"/>
                <w:color w:val="404040"/>
              </w:rPr>
              <w:t xml:space="preserve">have </w:t>
            </w:r>
            <w:r w:rsidR="002159D3" w:rsidRPr="00A41A00">
              <w:rPr>
                <w:rFonts w:ascii="Century" w:hAnsi="Century"/>
                <w:color w:val="404040"/>
              </w:rPr>
              <w:t xml:space="preserve">an important </w:t>
            </w:r>
            <w:r w:rsidRPr="00A41A00">
              <w:rPr>
                <w:rFonts w:ascii="Century" w:hAnsi="Century"/>
                <w:color w:val="404040"/>
              </w:rPr>
              <w:t>share in total premium receivables.</w:t>
            </w:r>
          </w:p>
          <w:p w:rsidR="0089736C" w:rsidRPr="00A41A00" w:rsidRDefault="0089736C" w:rsidP="008D17FE">
            <w:pPr>
              <w:rPr>
                <w:rFonts w:ascii="Century" w:hAnsi="Century"/>
                <w:color w:val="404040"/>
                <w:highlight w:val="yellow"/>
                <w:lang w:val="tr-TR"/>
              </w:rPr>
            </w:pPr>
          </w:p>
          <w:p w:rsidR="0089736C" w:rsidRPr="00A41A00" w:rsidRDefault="0089736C" w:rsidP="008D17FE">
            <w:pPr>
              <w:rPr>
                <w:rFonts w:ascii="Century" w:hAnsi="Century"/>
                <w:color w:val="404040"/>
                <w:lang w:val="tr-TR"/>
              </w:rPr>
            </w:pPr>
          </w:p>
          <w:p w:rsidR="0089736C" w:rsidRPr="00A41A00" w:rsidRDefault="0089736C" w:rsidP="0089736C">
            <w:pPr>
              <w:jc w:val="both"/>
              <w:rPr>
                <w:rFonts w:ascii="Century" w:hAnsi="Century"/>
                <w:color w:val="404040"/>
              </w:rPr>
            </w:pPr>
            <w:r w:rsidRPr="00A41A00">
              <w:rPr>
                <w:rFonts w:ascii="Century" w:hAnsi="Century"/>
                <w:color w:val="404040"/>
              </w:rPr>
              <w:t xml:space="preserve">While premium receivables from </w:t>
            </w:r>
            <w:r w:rsidR="00BC43D3" w:rsidRPr="00A41A00">
              <w:rPr>
                <w:rFonts w:ascii="Century" w:hAnsi="Century"/>
                <w:color w:val="404040"/>
              </w:rPr>
              <w:t xml:space="preserve">intermediaries </w:t>
            </w:r>
            <w:r w:rsidRPr="00A41A00">
              <w:rPr>
                <w:rFonts w:ascii="Century" w:hAnsi="Century"/>
                <w:color w:val="404040"/>
              </w:rPr>
              <w:t xml:space="preserve">composes </w:t>
            </w:r>
            <w:r w:rsidR="002159D3" w:rsidRPr="00A41A00">
              <w:rPr>
                <w:rFonts w:ascii="Century" w:hAnsi="Century"/>
                <w:color w:val="404040"/>
              </w:rPr>
              <w:t>81</w:t>
            </w:r>
            <w:r w:rsidRPr="00A41A00">
              <w:rPr>
                <w:rFonts w:ascii="Century" w:hAnsi="Century"/>
                <w:color w:val="404040"/>
              </w:rPr>
              <w:t xml:space="preserve">% of the premium receivables of non–life insurance companies, receivables from </w:t>
            </w:r>
            <w:r w:rsidRPr="00A41A00">
              <w:rPr>
                <w:rFonts w:ascii="Century" w:hAnsi="Century"/>
                <w:noProof/>
                <w:color w:val="404040"/>
              </w:rPr>
              <w:t>insured</w:t>
            </w:r>
            <w:r w:rsidR="00096277" w:rsidRPr="00A41A00">
              <w:rPr>
                <w:rFonts w:ascii="Century" w:hAnsi="Century"/>
                <w:noProof/>
                <w:color w:val="404040"/>
              </w:rPr>
              <w:t>s</w:t>
            </w:r>
            <w:r w:rsidRPr="00A41A00">
              <w:rPr>
                <w:rFonts w:ascii="Century" w:hAnsi="Century"/>
                <w:noProof/>
                <w:color w:val="404040"/>
              </w:rPr>
              <w:t xml:space="preserve"> </w:t>
            </w:r>
            <w:r w:rsidRPr="00A41A00">
              <w:rPr>
                <w:rFonts w:ascii="Century" w:hAnsi="Century"/>
                <w:color w:val="404040"/>
              </w:rPr>
              <w:t xml:space="preserve">composes the major share of premium receivables by </w:t>
            </w:r>
            <w:r w:rsidR="002159D3" w:rsidRPr="00A41A00">
              <w:rPr>
                <w:rFonts w:ascii="Century" w:hAnsi="Century"/>
                <w:color w:val="404040"/>
              </w:rPr>
              <w:t>79</w:t>
            </w:r>
            <w:r w:rsidRPr="00A41A00">
              <w:rPr>
                <w:rFonts w:ascii="Century" w:hAnsi="Century"/>
                <w:color w:val="404040"/>
              </w:rPr>
              <w:t>% for life insurance companies because of the structure of the system.</w:t>
            </w:r>
          </w:p>
          <w:p w:rsidR="0089736C" w:rsidRPr="00367FA3" w:rsidRDefault="0089736C" w:rsidP="008D17FE">
            <w:pPr>
              <w:rPr>
                <w:rFonts w:ascii="Century" w:hAnsi="Century"/>
                <w:highlight w:val="yellow"/>
                <w:lang w:val="tr-TR"/>
              </w:rPr>
            </w:pPr>
          </w:p>
        </w:tc>
      </w:tr>
      <w:tr w:rsidR="006C6FA8" w:rsidRPr="00367FA3">
        <w:tc>
          <w:tcPr>
            <w:tcW w:w="9855" w:type="dxa"/>
            <w:gridSpan w:val="5"/>
          </w:tcPr>
          <w:p w:rsidR="0001780E" w:rsidRPr="00367FA3" w:rsidRDefault="0001780E" w:rsidP="00D96FCE">
            <w:pPr>
              <w:pStyle w:val="ResimYazs"/>
              <w:jc w:val="center"/>
              <w:rPr>
                <w:rFonts w:ascii="Century" w:hAnsi="Century"/>
                <w:highlight w:val="yellow"/>
                <w:lang w:val="tr-TR"/>
              </w:rPr>
            </w:pPr>
            <w:r w:rsidRPr="005538C7">
              <w:rPr>
                <w:rFonts w:ascii="Century" w:hAnsi="Century"/>
                <w:lang w:val="tr-TR"/>
              </w:rPr>
              <w:lastRenderedPageBreak/>
              <w:t xml:space="preserve">Tablo </w:t>
            </w:r>
            <w:r w:rsidRPr="005538C7">
              <w:rPr>
                <w:rFonts w:ascii="Century" w:hAnsi="Century"/>
                <w:lang w:val="tr-TR"/>
              </w:rPr>
              <w:fldChar w:fldCharType="begin"/>
            </w:r>
            <w:r w:rsidRPr="005538C7">
              <w:rPr>
                <w:rFonts w:ascii="Century" w:hAnsi="Century"/>
                <w:lang w:val="tr-TR"/>
              </w:rPr>
              <w:instrText xml:space="preserve"> STYLEREF 2 \s </w:instrText>
            </w:r>
            <w:r w:rsidRPr="005538C7">
              <w:rPr>
                <w:rFonts w:ascii="Century" w:hAnsi="Century"/>
                <w:lang w:val="tr-TR"/>
              </w:rPr>
              <w:fldChar w:fldCharType="separate"/>
            </w:r>
            <w:r w:rsidR="00DA718E">
              <w:rPr>
                <w:rFonts w:ascii="Century" w:hAnsi="Century"/>
                <w:noProof/>
                <w:lang w:val="tr-TR"/>
              </w:rPr>
              <w:t>1.4</w:t>
            </w:r>
            <w:r w:rsidRPr="005538C7">
              <w:rPr>
                <w:rFonts w:ascii="Century" w:hAnsi="Century"/>
                <w:lang w:val="tr-TR"/>
              </w:rPr>
              <w:fldChar w:fldCharType="end"/>
            </w:r>
            <w:r w:rsidRPr="005538C7">
              <w:rPr>
                <w:rFonts w:ascii="Century" w:hAnsi="Century"/>
                <w:lang w:val="tr-TR"/>
              </w:rPr>
              <w:noBreakHyphen/>
            </w:r>
            <w:r w:rsidRPr="005538C7">
              <w:rPr>
                <w:rFonts w:ascii="Century" w:hAnsi="Century"/>
                <w:lang w:val="tr-TR"/>
              </w:rPr>
              <w:fldChar w:fldCharType="begin"/>
            </w:r>
            <w:r w:rsidRPr="005538C7">
              <w:rPr>
                <w:rFonts w:ascii="Century" w:hAnsi="Century"/>
                <w:lang w:val="tr-TR"/>
              </w:rPr>
              <w:instrText xml:space="preserve"> SEQ Tablo \* ARABIC \s 2 </w:instrText>
            </w:r>
            <w:r w:rsidRPr="005538C7">
              <w:rPr>
                <w:rFonts w:ascii="Century" w:hAnsi="Century"/>
                <w:lang w:val="tr-TR"/>
              </w:rPr>
              <w:fldChar w:fldCharType="separate"/>
            </w:r>
            <w:r w:rsidR="00DA718E">
              <w:rPr>
                <w:rFonts w:ascii="Century" w:hAnsi="Century"/>
                <w:noProof/>
                <w:lang w:val="tr-TR"/>
              </w:rPr>
              <w:t>9</w:t>
            </w:r>
            <w:r w:rsidRPr="005538C7">
              <w:rPr>
                <w:rFonts w:ascii="Century" w:hAnsi="Century"/>
                <w:lang w:val="tr-TR"/>
              </w:rPr>
              <w:fldChar w:fldCharType="end"/>
            </w:r>
            <w:r w:rsidRPr="005538C7">
              <w:rPr>
                <w:rFonts w:ascii="Century" w:hAnsi="Century"/>
                <w:lang w:val="tr-TR"/>
              </w:rPr>
              <w:t>;</w:t>
            </w:r>
            <w:r w:rsidRPr="005538C7">
              <w:rPr>
                <w:rFonts w:ascii="Century" w:hAnsi="Century"/>
                <w:bCs w:val="0"/>
                <w:lang w:val="tr-TR"/>
              </w:rPr>
              <w:t xml:space="preserve"> Sigortacılık Faaliyetlerinden Alacaklar</w:t>
            </w:r>
            <w:r w:rsidRPr="005538C7">
              <w:rPr>
                <w:rFonts w:ascii="Century" w:hAnsi="Century"/>
                <w:lang w:val="tr-TR"/>
              </w:rPr>
              <w:t xml:space="preserve"> - </w:t>
            </w:r>
            <w:r w:rsidRPr="005538C7">
              <w:rPr>
                <w:rFonts w:ascii="Century" w:hAnsi="Century"/>
                <w:b w:val="0"/>
                <w:i/>
                <w:iCs/>
                <w:lang w:val="tr-TR"/>
              </w:rPr>
              <w:t>Receivables from Operations</w:t>
            </w:r>
          </w:p>
          <w:p w:rsidR="006C6FA8" w:rsidRPr="00FC2C57" w:rsidRDefault="00FC2C57" w:rsidP="00D96FCE">
            <w:pPr>
              <w:jc w:val="center"/>
              <w:rPr>
                <w:rFonts w:ascii="Century" w:hAnsi="Century"/>
                <w:highlight w:val="yellow"/>
                <w:lang w:val="tr-TR"/>
              </w:rPr>
            </w:pPr>
            <w:r w:rsidRPr="00FC2C57">
              <w:rPr>
                <w:rFonts w:ascii="Century" w:hAnsi="Century"/>
                <w:lang w:val="tr-TR"/>
              </w:rPr>
              <w:pict>
                <v:shape id="_x0000_i1061" type="#_x0000_t75" style="width:450.75pt;height:109.5pt">
                  <v:imagedata r:id="rId51" o:title=""/>
                </v:shape>
              </w:pict>
            </w:r>
          </w:p>
          <w:p w:rsidR="000355EE" w:rsidRPr="00367FA3" w:rsidRDefault="000355EE" w:rsidP="008D17FE">
            <w:pPr>
              <w:rPr>
                <w:rFonts w:ascii="Century" w:hAnsi="Century"/>
                <w:highlight w:val="yellow"/>
                <w:lang w:val="tr-TR"/>
              </w:rPr>
            </w:pPr>
          </w:p>
          <w:p w:rsidR="00927E0F" w:rsidRPr="00367FA3" w:rsidRDefault="00927E0F" w:rsidP="008D17FE">
            <w:pPr>
              <w:rPr>
                <w:rFonts w:ascii="Century" w:hAnsi="Century"/>
                <w:highlight w:val="yellow"/>
                <w:lang w:val="tr-TR"/>
              </w:rPr>
            </w:pPr>
          </w:p>
        </w:tc>
      </w:tr>
      <w:tr w:rsidR="00D35446" w:rsidRPr="00367FA3">
        <w:tc>
          <w:tcPr>
            <w:tcW w:w="4815" w:type="dxa"/>
            <w:gridSpan w:val="2"/>
          </w:tcPr>
          <w:p w:rsidR="0001780E" w:rsidRPr="00E872FE" w:rsidRDefault="009E5A95" w:rsidP="004443B5">
            <w:pPr>
              <w:pStyle w:val="Balk4"/>
              <w:keepNext w:val="0"/>
              <w:numPr>
                <w:ilvl w:val="0"/>
                <w:numId w:val="11"/>
              </w:numPr>
              <w:spacing w:before="0" w:after="0"/>
              <w:rPr>
                <w:rFonts w:ascii="Century" w:hAnsi="Century"/>
                <w:sz w:val="24"/>
                <w:szCs w:val="24"/>
                <w:lang w:val="tr-TR"/>
              </w:rPr>
            </w:pPr>
            <w:bookmarkStart w:id="69" w:name="_Toc198287700"/>
            <w:bookmarkStart w:id="70" w:name="_Toc199251247"/>
            <w:r w:rsidRPr="00E872FE">
              <w:rPr>
                <w:rFonts w:ascii="Century" w:hAnsi="Century"/>
                <w:sz w:val="24"/>
                <w:szCs w:val="24"/>
                <w:lang w:val="tr-TR"/>
              </w:rPr>
              <w:t>Yükümlülükler ve Özsermaye</w:t>
            </w:r>
            <w:bookmarkEnd w:id="69"/>
            <w:bookmarkEnd w:id="70"/>
          </w:p>
          <w:p w:rsidR="0001780E" w:rsidRPr="00E872FE" w:rsidRDefault="0001780E" w:rsidP="008D17FE">
            <w:pPr>
              <w:jc w:val="both"/>
              <w:rPr>
                <w:rFonts w:ascii="Century" w:hAnsi="Century"/>
                <w:lang w:val="tr-TR"/>
              </w:rPr>
            </w:pPr>
          </w:p>
          <w:p w:rsidR="0001780E" w:rsidRPr="00E872FE" w:rsidRDefault="0001780E" w:rsidP="008D17FE">
            <w:pPr>
              <w:jc w:val="both"/>
              <w:rPr>
                <w:rFonts w:ascii="Century" w:hAnsi="Century"/>
                <w:lang w:val="tr-TR"/>
              </w:rPr>
            </w:pPr>
            <w:r w:rsidRPr="00E872FE">
              <w:rPr>
                <w:rFonts w:ascii="Century" w:hAnsi="Century"/>
                <w:lang w:val="tr-TR"/>
              </w:rPr>
              <w:t>Sigorta, reasürans ve bireysel emeklilik şirketlerinin 31.12.200</w:t>
            </w:r>
            <w:r w:rsidR="00E872FE">
              <w:rPr>
                <w:rFonts w:ascii="Century" w:hAnsi="Century"/>
                <w:lang w:val="tr-TR"/>
              </w:rPr>
              <w:t>7</w:t>
            </w:r>
            <w:r w:rsidRPr="00E872FE">
              <w:rPr>
                <w:rFonts w:ascii="Century" w:hAnsi="Century"/>
                <w:lang w:val="tr-TR"/>
              </w:rPr>
              <w:t xml:space="preserve"> tarihi itibariyle yükümlülük </w:t>
            </w:r>
            <w:r w:rsidR="00AA43E9" w:rsidRPr="00E872FE">
              <w:rPr>
                <w:rFonts w:ascii="Century" w:hAnsi="Century"/>
                <w:lang w:val="tr-TR"/>
              </w:rPr>
              <w:t>toplamı</w:t>
            </w:r>
            <w:r w:rsidRPr="00E872FE">
              <w:rPr>
                <w:rFonts w:ascii="Century" w:hAnsi="Century"/>
                <w:lang w:val="tr-TR"/>
              </w:rPr>
              <w:t xml:space="preserve"> 1</w:t>
            </w:r>
            <w:r w:rsidR="00E872FE">
              <w:rPr>
                <w:rFonts w:ascii="Century" w:hAnsi="Century"/>
                <w:lang w:val="tr-TR"/>
              </w:rPr>
              <w:t>5.745</w:t>
            </w:r>
            <w:r w:rsidRPr="00E872FE">
              <w:rPr>
                <w:rFonts w:ascii="Century" w:hAnsi="Century"/>
                <w:lang w:val="tr-TR"/>
              </w:rPr>
              <w:t xml:space="preserve"> milyon YTL, özsermaye toplamı</w:t>
            </w:r>
            <w:r w:rsidR="00AA43E9" w:rsidRPr="00E872FE">
              <w:rPr>
                <w:rFonts w:ascii="Century" w:hAnsi="Century"/>
                <w:lang w:val="tr-TR"/>
              </w:rPr>
              <w:t xml:space="preserve"> </w:t>
            </w:r>
            <w:r w:rsidRPr="00E872FE">
              <w:rPr>
                <w:rFonts w:ascii="Century" w:hAnsi="Century"/>
                <w:lang w:val="tr-TR"/>
              </w:rPr>
              <w:t xml:space="preserve">ise </w:t>
            </w:r>
            <w:r w:rsidR="00E872FE">
              <w:rPr>
                <w:rFonts w:ascii="Century" w:hAnsi="Century"/>
                <w:lang w:val="tr-TR"/>
              </w:rPr>
              <w:t>7.615</w:t>
            </w:r>
            <w:r w:rsidRPr="00E872FE">
              <w:rPr>
                <w:rFonts w:ascii="Century" w:hAnsi="Century"/>
                <w:lang w:val="tr-TR"/>
              </w:rPr>
              <w:t xml:space="preserve"> milyon YTL</w:t>
            </w:r>
            <w:r w:rsidR="00096277" w:rsidRPr="00E872FE">
              <w:rPr>
                <w:rFonts w:ascii="Century" w:hAnsi="Century"/>
                <w:lang w:val="tr-TR"/>
              </w:rPr>
              <w:t xml:space="preserve"> olarak gerçekleşmiştir.</w:t>
            </w:r>
            <w:r w:rsidRPr="00E872FE">
              <w:rPr>
                <w:rFonts w:ascii="Century" w:hAnsi="Century"/>
                <w:lang w:val="tr-TR"/>
              </w:rPr>
              <w:t xml:space="preserve"> </w:t>
            </w:r>
          </w:p>
          <w:p w:rsidR="0001780E" w:rsidRPr="00E872FE" w:rsidRDefault="0001780E" w:rsidP="008D17FE">
            <w:pPr>
              <w:jc w:val="both"/>
              <w:rPr>
                <w:rFonts w:ascii="Century" w:hAnsi="Century"/>
                <w:lang w:val="tr-TR"/>
              </w:rPr>
            </w:pPr>
          </w:p>
          <w:p w:rsidR="0001780E" w:rsidRPr="00E872FE" w:rsidRDefault="0001780E" w:rsidP="008D17FE">
            <w:pPr>
              <w:jc w:val="both"/>
              <w:rPr>
                <w:rFonts w:ascii="Century" w:hAnsi="Century"/>
                <w:lang w:val="tr-TR"/>
              </w:rPr>
            </w:pPr>
            <w:r w:rsidRPr="00E872FE">
              <w:rPr>
                <w:rFonts w:ascii="Century" w:hAnsi="Century"/>
                <w:lang w:val="tr-TR"/>
              </w:rPr>
              <w:t>Hayat ve hayat dışı sigorta şirketleri ile reasürans şirketlerinin yükümlülükleri iç</w:t>
            </w:r>
            <w:r w:rsidR="00AA43E9" w:rsidRPr="00E872FE">
              <w:rPr>
                <w:rFonts w:ascii="Century" w:hAnsi="Century"/>
                <w:lang w:val="tr-TR"/>
              </w:rPr>
              <w:t>inde</w:t>
            </w:r>
            <w:r w:rsidRPr="00E872FE">
              <w:rPr>
                <w:rFonts w:ascii="Century" w:hAnsi="Century"/>
                <w:lang w:val="tr-TR"/>
              </w:rPr>
              <w:t xml:space="preserve"> teknik karşılıklar en büyük paya sahip iken, hayat/emeklilik</w:t>
            </w:r>
            <w:r w:rsidR="002C4985" w:rsidRPr="00E872FE">
              <w:rPr>
                <w:rFonts w:ascii="Century" w:hAnsi="Century"/>
                <w:lang w:val="tr-TR"/>
              </w:rPr>
              <w:t xml:space="preserve"> </w:t>
            </w:r>
            <w:r w:rsidRPr="00E872FE">
              <w:rPr>
                <w:rFonts w:ascii="Century" w:hAnsi="Century"/>
                <w:lang w:val="tr-TR"/>
              </w:rPr>
              <w:t xml:space="preserve">şirketlerinde </w:t>
            </w:r>
            <w:r w:rsidRPr="00E872FE">
              <w:rPr>
                <w:rFonts w:ascii="Century" w:hAnsi="Century"/>
                <w:lang w:val="tr-TR"/>
              </w:rPr>
              <w:lastRenderedPageBreak/>
              <w:t xml:space="preserve">teknik karşılıkların yanı sıra bireysel emeklilik faaliyetlerinin etkisiyle esas faaliyetlerden borçlar da önemli bir yer tutmaktadır. </w:t>
            </w:r>
          </w:p>
          <w:p w:rsidR="00D61B7D" w:rsidRPr="00367FA3" w:rsidRDefault="00D61B7D" w:rsidP="008D17FE">
            <w:pPr>
              <w:rPr>
                <w:rFonts w:ascii="Century" w:hAnsi="Century"/>
                <w:highlight w:val="yellow"/>
                <w:lang w:val="tr-TR"/>
              </w:rPr>
            </w:pPr>
          </w:p>
        </w:tc>
        <w:tc>
          <w:tcPr>
            <w:tcW w:w="236" w:type="dxa"/>
            <w:gridSpan w:val="2"/>
          </w:tcPr>
          <w:p w:rsidR="00D35446" w:rsidRPr="00367FA3" w:rsidRDefault="00D35446" w:rsidP="008D17FE">
            <w:pPr>
              <w:rPr>
                <w:rFonts w:ascii="Century" w:hAnsi="Century"/>
                <w:highlight w:val="yellow"/>
                <w:lang w:val="tr-TR"/>
              </w:rPr>
            </w:pPr>
          </w:p>
        </w:tc>
        <w:tc>
          <w:tcPr>
            <w:tcW w:w="4804" w:type="dxa"/>
          </w:tcPr>
          <w:p w:rsidR="00D35446" w:rsidRPr="00A41A00" w:rsidRDefault="00C42241" w:rsidP="004443B5">
            <w:pPr>
              <w:ind w:left="92"/>
              <w:rPr>
                <w:rFonts w:ascii="Century" w:hAnsi="Century"/>
                <w:b/>
                <w:color w:val="404040"/>
                <w:lang w:val="tr-TR"/>
              </w:rPr>
            </w:pPr>
            <w:r w:rsidRPr="00A41A00">
              <w:rPr>
                <w:rFonts w:ascii="Century" w:hAnsi="Century"/>
                <w:b/>
                <w:color w:val="404040"/>
                <w:lang w:val="tr-TR"/>
              </w:rPr>
              <w:t xml:space="preserve">B.  </w:t>
            </w:r>
            <w:r w:rsidR="00FF6E44" w:rsidRPr="00A41A00">
              <w:rPr>
                <w:rFonts w:ascii="Century" w:hAnsi="Century"/>
                <w:b/>
                <w:color w:val="404040"/>
                <w:lang w:val="tr-TR"/>
              </w:rPr>
              <w:t xml:space="preserve"> </w:t>
            </w:r>
            <w:r w:rsidRPr="00A41A00">
              <w:rPr>
                <w:rFonts w:ascii="Century" w:hAnsi="Century"/>
                <w:b/>
                <w:color w:val="404040"/>
                <w:lang w:val="tr-TR"/>
              </w:rPr>
              <w:t>Liabilities</w:t>
            </w:r>
            <w:r w:rsidR="00752D5D" w:rsidRPr="00A41A00">
              <w:rPr>
                <w:rFonts w:ascii="Century" w:hAnsi="Century"/>
                <w:b/>
                <w:color w:val="404040"/>
                <w:lang w:val="tr-TR"/>
              </w:rPr>
              <w:t xml:space="preserve"> </w:t>
            </w:r>
            <w:r w:rsidR="00BD09A7" w:rsidRPr="00A41A00">
              <w:rPr>
                <w:rFonts w:ascii="Century" w:hAnsi="Century"/>
                <w:b/>
                <w:color w:val="404040"/>
                <w:lang w:val="tr-TR"/>
              </w:rPr>
              <w:t>&amp;</w:t>
            </w:r>
            <w:r w:rsidR="00752D5D" w:rsidRPr="00A41A00">
              <w:rPr>
                <w:rFonts w:ascii="Century" w:hAnsi="Century"/>
                <w:b/>
                <w:color w:val="404040"/>
                <w:lang w:val="tr-TR"/>
              </w:rPr>
              <w:t xml:space="preserve"> </w:t>
            </w:r>
            <w:r w:rsidR="00BD09A7" w:rsidRPr="00A41A00">
              <w:rPr>
                <w:rFonts w:ascii="Century" w:hAnsi="Century"/>
                <w:b/>
                <w:color w:val="404040"/>
                <w:lang w:val="tr-TR"/>
              </w:rPr>
              <w:t>Shareholders’ Equity</w:t>
            </w:r>
          </w:p>
          <w:p w:rsidR="00C42241" w:rsidRPr="00A41A00" w:rsidRDefault="00C42241" w:rsidP="00C42241">
            <w:pPr>
              <w:ind w:left="709" w:hanging="709"/>
              <w:jc w:val="both"/>
              <w:rPr>
                <w:rFonts w:ascii="Century" w:hAnsi="Century"/>
                <w:b/>
                <w:color w:val="404040"/>
                <w:lang w:val="tr-TR"/>
              </w:rPr>
            </w:pPr>
          </w:p>
          <w:p w:rsidR="00C42241" w:rsidRPr="00A41A00" w:rsidRDefault="00C42241" w:rsidP="00C42241">
            <w:pPr>
              <w:jc w:val="both"/>
              <w:rPr>
                <w:rFonts w:ascii="Century" w:hAnsi="Century"/>
                <w:color w:val="404040"/>
              </w:rPr>
            </w:pPr>
            <w:r w:rsidRPr="00A41A00">
              <w:rPr>
                <w:rFonts w:ascii="Century" w:hAnsi="Century"/>
                <w:color w:val="404040"/>
              </w:rPr>
              <w:t>It is seen that th</w:t>
            </w:r>
            <w:r w:rsidR="005167F3" w:rsidRPr="00A41A00">
              <w:rPr>
                <w:rFonts w:ascii="Century" w:hAnsi="Century"/>
                <w:color w:val="404040"/>
              </w:rPr>
              <w:t>e amount of liability is YTL 1</w:t>
            </w:r>
            <w:r w:rsidR="00E872FE" w:rsidRPr="00A41A00">
              <w:rPr>
                <w:rFonts w:ascii="Century" w:hAnsi="Century"/>
                <w:color w:val="404040"/>
              </w:rPr>
              <w:t>5.745</w:t>
            </w:r>
            <w:r w:rsidRPr="00A41A00">
              <w:rPr>
                <w:rFonts w:ascii="Century" w:hAnsi="Century"/>
                <w:color w:val="404040"/>
              </w:rPr>
              <w:t xml:space="preserve"> million and shareholders</w:t>
            </w:r>
            <w:r w:rsidR="00AA43E9" w:rsidRPr="00A41A00">
              <w:rPr>
                <w:rFonts w:ascii="Century" w:hAnsi="Century"/>
                <w:color w:val="404040"/>
              </w:rPr>
              <w:t>’</w:t>
            </w:r>
            <w:r w:rsidR="00E872FE" w:rsidRPr="00A41A00">
              <w:rPr>
                <w:rFonts w:ascii="Century" w:hAnsi="Century"/>
                <w:color w:val="404040"/>
              </w:rPr>
              <w:t xml:space="preserve"> equity is YTL 7.615</w:t>
            </w:r>
            <w:r w:rsidRPr="00A41A00">
              <w:rPr>
                <w:rFonts w:ascii="Century" w:hAnsi="Century"/>
                <w:color w:val="404040"/>
              </w:rPr>
              <w:t xml:space="preserve"> million in total for insurance sector as at </w:t>
            </w:r>
            <w:smartTag w:uri="urn:schemas-microsoft-com:office:smarttags" w:element="date">
              <w:smartTagPr>
                <w:attr w:name="Year" w:val="2007"/>
                <w:attr w:name="Day" w:val="31"/>
                <w:attr w:name="Month" w:val="12"/>
              </w:smartTagPr>
              <w:r w:rsidRPr="00A41A00">
                <w:rPr>
                  <w:rFonts w:ascii="Century" w:hAnsi="Century"/>
                  <w:color w:val="404040"/>
                </w:rPr>
                <w:t>December</w:t>
              </w:r>
              <w:r w:rsidR="00AA43E9" w:rsidRPr="00A41A00">
                <w:rPr>
                  <w:rFonts w:ascii="Century" w:hAnsi="Century"/>
                  <w:color w:val="404040"/>
                </w:rPr>
                <w:t xml:space="preserve"> 31,</w:t>
              </w:r>
              <w:r w:rsidRPr="00A41A00">
                <w:rPr>
                  <w:rFonts w:ascii="Century" w:hAnsi="Century"/>
                  <w:color w:val="404040"/>
                </w:rPr>
                <w:t xml:space="preserve"> 200</w:t>
              </w:r>
              <w:r w:rsidR="00E872FE" w:rsidRPr="00A41A00">
                <w:rPr>
                  <w:rFonts w:ascii="Century" w:hAnsi="Century"/>
                  <w:color w:val="404040"/>
                </w:rPr>
                <w:t>7</w:t>
              </w:r>
            </w:smartTag>
            <w:r w:rsidRPr="00A41A00">
              <w:rPr>
                <w:rFonts w:ascii="Century" w:hAnsi="Century"/>
                <w:color w:val="404040"/>
              </w:rPr>
              <w:t>.</w:t>
            </w:r>
          </w:p>
          <w:p w:rsidR="00C42241" w:rsidRPr="00A41A00" w:rsidRDefault="00C42241" w:rsidP="00C42241">
            <w:pPr>
              <w:ind w:left="709" w:hanging="709"/>
              <w:jc w:val="both"/>
              <w:rPr>
                <w:rFonts w:ascii="Century" w:hAnsi="Century"/>
                <w:b/>
                <w:color w:val="404040"/>
                <w:lang w:val="tr-TR"/>
              </w:rPr>
            </w:pPr>
          </w:p>
          <w:p w:rsidR="00C42241" w:rsidRPr="00A41A00" w:rsidRDefault="00C42241" w:rsidP="00C42241">
            <w:pPr>
              <w:jc w:val="both"/>
              <w:rPr>
                <w:rFonts w:ascii="Century" w:hAnsi="Century"/>
                <w:color w:val="404040"/>
              </w:rPr>
            </w:pPr>
            <w:r w:rsidRPr="00A41A00">
              <w:rPr>
                <w:rFonts w:ascii="Century" w:hAnsi="Century"/>
                <w:color w:val="404040"/>
              </w:rPr>
              <w:t>Since the technical provisions have the largest share in the liabilities of non</w:t>
            </w:r>
            <w:r w:rsidR="00AB220A" w:rsidRPr="00A41A00">
              <w:rPr>
                <w:rFonts w:ascii="Century" w:hAnsi="Century"/>
                <w:color w:val="404040"/>
              </w:rPr>
              <w:t>-</w:t>
            </w:r>
            <w:r w:rsidRPr="00A41A00">
              <w:rPr>
                <w:rFonts w:ascii="Century" w:hAnsi="Century"/>
                <w:color w:val="404040"/>
              </w:rPr>
              <w:t xml:space="preserve">life and life insurance </w:t>
            </w:r>
            <w:r w:rsidR="001C2B9A" w:rsidRPr="00A41A00">
              <w:rPr>
                <w:rFonts w:ascii="Century" w:hAnsi="Century"/>
                <w:color w:val="404040"/>
              </w:rPr>
              <w:t xml:space="preserve">and reinsurance </w:t>
            </w:r>
            <w:r w:rsidRPr="00A41A00">
              <w:rPr>
                <w:rFonts w:ascii="Century" w:hAnsi="Century"/>
                <w:color w:val="404040"/>
              </w:rPr>
              <w:t xml:space="preserve">companies, </w:t>
            </w:r>
            <w:r w:rsidR="0019339C" w:rsidRPr="00A41A00">
              <w:rPr>
                <w:rFonts w:ascii="Century" w:hAnsi="Century"/>
                <w:color w:val="404040"/>
              </w:rPr>
              <w:t xml:space="preserve">with </w:t>
            </w:r>
            <w:r w:rsidRPr="00A41A00">
              <w:rPr>
                <w:rFonts w:ascii="Century" w:hAnsi="Century"/>
                <w:color w:val="404040"/>
              </w:rPr>
              <w:t xml:space="preserve">the </w:t>
            </w:r>
            <w:r w:rsidR="0019339C" w:rsidRPr="00A41A00">
              <w:rPr>
                <w:rFonts w:ascii="Century" w:hAnsi="Century"/>
                <w:color w:val="404040"/>
              </w:rPr>
              <w:t xml:space="preserve">effect of </w:t>
            </w:r>
            <w:r w:rsidRPr="00A41A00">
              <w:rPr>
                <w:rFonts w:ascii="Century" w:hAnsi="Century"/>
                <w:color w:val="404040"/>
              </w:rPr>
              <w:t xml:space="preserve">private </w:t>
            </w:r>
            <w:r w:rsidRPr="00A41A00">
              <w:rPr>
                <w:rFonts w:ascii="Century" w:hAnsi="Century"/>
                <w:color w:val="404040"/>
              </w:rPr>
              <w:lastRenderedPageBreak/>
              <w:t xml:space="preserve">pension activities </w:t>
            </w:r>
            <w:r w:rsidR="0019339C" w:rsidRPr="00A41A00">
              <w:rPr>
                <w:rFonts w:ascii="Century" w:hAnsi="Century"/>
                <w:color w:val="404040"/>
              </w:rPr>
              <w:t>also payables on operations</w:t>
            </w:r>
            <w:r w:rsidRPr="00A41A00">
              <w:rPr>
                <w:rFonts w:ascii="Century" w:hAnsi="Century"/>
                <w:color w:val="404040"/>
              </w:rPr>
              <w:t xml:space="preserve"> has majority for</w:t>
            </w:r>
            <w:r w:rsidR="002C4985" w:rsidRPr="00A41A00">
              <w:rPr>
                <w:rFonts w:ascii="Century" w:hAnsi="Century"/>
                <w:color w:val="404040"/>
              </w:rPr>
              <w:t xml:space="preserve"> </w:t>
            </w:r>
            <w:r w:rsidRPr="00A41A00">
              <w:rPr>
                <w:rFonts w:ascii="Century" w:hAnsi="Century"/>
                <w:color w:val="404040"/>
              </w:rPr>
              <w:t>life/pension companies</w:t>
            </w:r>
            <w:r w:rsidR="0019339C" w:rsidRPr="00A41A00">
              <w:rPr>
                <w:rFonts w:ascii="Century" w:hAnsi="Century"/>
                <w:color w:val="404040"/>
              </w:rPr>
              <w:t xml:space="preserve">’ </w:t>
            </w:r>
            <w:r w:rsidRPr="00A41A00">
              <w:rPr>
                <w:rFonts w:ascii="Century" w:hAnsi="Century"/>
                <w:color w:val="404040"/>
              </w:rPr>
              <w:t>liabilities.</w:t>
            </w:r>
          </w:p>
          <w:p w:rsidR="00C42241" w:rsidRPr="00367FA3" w:rsidRDefault="00C42241" w:rsidP="00C42241">
            <w:pPr>
              <w:ind w:left="709" w:hanging="709"/>
              <w:jc w:val="both"/>
              <w:rPr>
                <w:rFonts w:ascii="Century" w:hAnsi="Century"/>
                <w:b/>
                <w:color w:val="999999"/>
                <w:highlight w:val="yellow"/>
                <w:lang w:val="tr-TR"/>
              </w:rPr>
            </w:pPr>
          </w:p>
        </w:tc>
      </w:tr>
      <w:tr w:rsidR="006C6FA8" w:rsidRPr="00367FA3">
        <w:tc>
          <w:tcPr>
            <w:tcW w:w="9855" w:type="dxa"/>
            <w:gridSpan w:val="5"/>
          </w:tcPr>
          <w:p w:rsidR="0001780E" w:rsidRPr="00E872FE" w:rsidRDefault="0001780E" w:rsidP="00D96FCE">
            <w:pPr>
              <w:pStyle w:val="ResimYazs"/>
              <w:jc w:val="center"/>
              <w:rPr>
                <w:rFonts w:ascii="Century" w:hAnsi="Century"/>
                <w:b w:val="0"/>
                <w:lang w:val="tr-TR"/>
              </w:rPr>
            </w:pPr>
            <w:bookmarkStart w:id="71" w:name="_Toc170665545"/>
            <w:r w:rsidRPr="00E872FE">
              <w:rPr>
                <w:rFonts w:ascii="Century" w:hAnsi="Century"/>
                <w:lang w:val="tr-TR"/>
              </w:rPr>
              <w:lastRenderedPageBreak/>
              <w:t xml:space="preserve">Tablo </w:t>
            </w:r>
            <w:r w:rsidRPr="00E872FE">
              <w:rPr>
                <w:rFonts w:ascii="Century" w:hAnsi="Century"/>
                <w:lang w:val="tr-TR"/>
              </w:rPr>
              <w:fldChar w:fldCharType="begin"/>
            </w:r>
            <w:r w:rsidRPr="00E872FE">
              <w:rPr>
                <w:rFonts w:ascii="Century" w:hAnsi="Century"/>
                <w:lang w:val="tr-TR"/>
              </w:rPr>
              <w:instrText xml:space="preserve"> STYLEREF 2 \s </w:instrText>
            </w:r>
            <w:r w:rsidRPr="00E872FE">
              <w:rPr>
                <w:rFonts w:ascii="Century" w:hAnsi="Century"/>
                <w:lang w:val="tr-TR"/>
              </w:rPr>
              <w:fldChar w:fldCharType="separate"/>
            </w:r>
            <w:r w:rsidR="00DA718E">
              <w:rPr>
                <w:rFonts w:ascii="Century" w:hAnsi="Century"/>
                <w:noProof/>
                <w:lang w:val="tr-TR"/>
              </w:rPr>
              <w:t>1.4</w:t>
            </w:r>
            <w:r w:rsidRPr="00E872FE">
              <w:rPr>
                <w:rFonts w:ascii="Century" w:hAnsi="Century"/>
                <w:lang w:val="tr-TR"/>
              </w:rPr>
              <w:fldChar w:fldCharType="end"/>
            </w:r>
            <w:r w:rsidRPr="00E872FE">
              <w:rPr>
                <w:rFonts w:ascii="Century" w:hAnsi="Century"/>
                <w:lang w:val="tr-TR"/>
              </w:rPr>
              <w:noBreakHyphen/>
            </w:r>
            <w:r w:rsidRPr="00E872FE">
              <w:rPr>
                <w:rFonts w:ascii="Century" w:hAnsi="Century"/>
                <w:lang w:val="tr-TR"/>
              </w:rPr>
              <w:fldChar w:fldCharType="begin"/>
            </w:r>
            <w:r w:rsidRPr="00E872FE">
              <w:rPr>
                <w:rFonts w:ascii="Century" w:hAnsi="Century"/>
                <w:lang w:val="tr-TR"/>
              </w:rPr>
              <w:instrText xml:space="preserve"> SEQ Tablo \* ARABIC \s 2 </w:instrText>
            </w:r>
            <w:r w:rsidRPr="00E872FE">
              <w:rPr>
                <w:rFonts w:ascii="Century" w:hAnsi="Century"/>
                <w:lang w:val="tr-TR"/>
              </w:rPr>
              <w:fldChar w:fldCharType="separate"/>
            </w:r>
            <w:r w:rsidR="00DA718E">
              <w:rPr>
                <w:rFonts w:ascii="Century" w:hAnsi="Century"/>
                <w:noProof/>
                <w:lang w:val="tr-TR"/>
              </w:rPr>
              <w:t>10</w:t>
            </w:r>
            <w:r w:rsidRPr="00E872FE">
              <w:rPr>
                <w:rFonts w:ascii="Century" w:hAnsi="Century"/>
                <w:lang w:val="tr-TR"/>
              </w:rPr>
              <w:fldChar w:fldCharType="end"/>
            </w:r>
            <w:r w:rsidRPr="00E872FE">
              <w:rPr>
                <w:rFonts w:ascii="Century" w:hAnsi="Century"/>
                <w:lang w:val="tr-TR"/>
              </w:rPr>
              <w:t>;</w:t>
            </w:r>
            <w:r w:rsidRPr="00E872FE">
              <w:rPr>
                <w:rFonts w:ascii="Century" w:hAnsi="Century"/>
                <w:bCs w:val="0"/>
                <w:lang w:val="tr-TR"/>
              </w:rPr>
              <w:t xml:space="preserve"> Yük</w:t>
            </w:r>
            <w:r w:rsidR="009E5A95" w:rsidRPr="00E872FE">
              <w:rPr>
                <w:rFonts w:ascii="Century" w:hAnsi="Century"/>
                <w:bCs w:val="0"/>
                <w:lang w:val="tr-TR"/>
              </w:rPr>
              <w:t>ümlülük Dağılımı</w:t>
            </w:r>
            <w:r w:rsidRPr="00E872FE">
              <w:rPr>
                <w:rFonts w:ascii="Century" w:hAnsi="Century"/>
                <w:bCs w:val="0"/>
                <w:lang w:val="tr-TR"/>
              </w:rPr>
              <w:t xml:space="preserve"> – </w:t>
            </w:r>
            <w:r w:rsidR="009E5A95" w:rsidRPr="00E872FE">
              <w:rPr>
                <w:rFonts w:ascii="Century" w:hAnsi="Century"/>
                <w:b w:val="0"/>
                <w:i/>
                <w:iCs/>
                <w:lang w:val="tr-TR"/>
              </w:rPr>
              <w:t>Disribution</w:t>
            </w:r>
            <w:r w:rsidRPr="00E872FE">
              <w:rPr>
                <w:rFonts w:ascii="Century" w:hAnsi="Century"/>
                <w:b w:val="0"/>
                <w:i/>
                <w:iCs/>
                <w:lang w:val="tr-TR"/>
              </w:rPr>
              <w:t xml:space="preserve"> of Liabilities</w:t>
            </w:r>
            <w:bookmarkEnd w:id="71"/>
          </w:p>
          <w:p w:rsidR="006C6FA8" w:rsidRPr="000B230B" w:rsidRDefault="000B230B" w:rsidP="00D96FCE">
            <w:pPr>
              <w:jc w:val="center"/>
              <w:rPr>
                <w:rFonts w:ascii="Century" w:hAnsi="Century"/>
                <w:highlight w:val="yellow"/>
                <w:lang w:val="tr-TR"/>
              </w:rPr>
            </w:pPr>
            <w:r w:rsidRPr="000B230B">
              <w:rPr>
                <w:rFonts w:ascii="Century" w:hAnsi="Century"/>
                <w:lang w:val="tr-TR"/>
              </w:rPr>
              <w:pict>
                <v:shape id="_x0000_i1062" type="#_x0000_t75" style="width:481.5pt;height:93pt">
                  <v:imagedata r:id="rId52" o:title=""/>
                </v:shape>
              </w:pict>
            </w:r>
          </w:p>
        </w:tc>
      </w:tr>
      <w:tr w:rsidR="00CD6E9E" w:rsidRPr="00367FA3">
        <w:tc>
          <w:tcPr>
            <w:tcW w:w="4815" w:type="dxa"/>
            <w:gridSpan w:val="2"/>
          </w:tcPr>
          <w:p w:rsidR="00425B24" w:rsidRPr="00367FA3" w:rsidRDefault="00425B24" w:rsidP="008D17FE">
            <w:pPr>
              <w:jc w:val="both"/>
              <w:rPr>
                <w:rFonts w:ascii="Century" w:hAnsi="Century"/>
                <w:highlight w:val="yellow"/>
                <w:lang w:val="tr-TR"/>
              </w:rPr>
            </w:pPr>
          </w:p>
          <w:p w:rsidR="00425B24" w:rsidRPr="00367FA3" w:rsidRDefault="00425B24" w:rsidP="008D17FE">
            <w:pPr>
              <w:jc w:val="both"/>
              <w:rPr>
                <w:rFonts w:ascii="Century" w:hAnsi="Century"/>
                <w:highlight w:val="yellow"/>
                <w:lang w:val="tr-TR"/>
              </w:rPr>
            </w:pPr>
          </w:p>
          <w:p w:rsidR="0001780E" w:rsidRPr="00E872FE" w:rsidRDefault="0001780E" w:rsidP="008D17FE">
            <w:pPr>
              <w:jc w:val="both"/>
              <w:rPr>
                <w:rFonts w:ascii="Century" w:hAnsi="Century"/>
                <w:lang w:val="tr-TR"/>
              </w:rPr>
            </w:pPr>
            <w:r w:rsidRPr="00E872FE">
              <w:rPr>
                <w:rFonts w:ascii="Century" w:hAnsi="Century"/>
                <w:lang w:val="tr-TR"/>
              </w:rPr>
              <w:t>Sigorta</w:t>
            </w:r>
            <w:r w:rsidR="00AA43E9" w:rsidRPr="00E872FE">
              <w:rPr>
                <w:rFonts w:ascii="Century" w:hAnsi="Century"/>
                <w:lang w:val="tr-TR"/>
              </w:rPr>
              <w:t xml:space="preserve">cılık </w:t>
            </w:r>
            <w:r w:rsidRPr="00E872FE">
              <w:rPr>
                <w:rFonts w:ascii="Century" w:hAnsi="Century"/>
                <w:lang w:val="tr-TR"/>
              </w:rPr>
              <w:t>sektöründe faaliyet gösteren tüm şirketlerin toplam öz</w:t>
            </w:r>
            <w:r w:rsidR="009E5A95" w:rsidRPr="00E872FE">
              <w:rPr>
                <w:rFonts w:ascii="Century" w:hAnsi="Century"/>
                <w:lang w:val="tr-TR"/>
              </w:rPr>
              <w:t>sermaye</w:t>
            </w:r>
            <w:r w:rsidRPr="00E872FE">
              <w:rPr>
                <w:rFonts w:ascii="Century" w:hAnsi="Century"/>
                <w:lang w:val="tr-TR"/>
              </w:rPr>
              <w:t xml:space="preserve"> tutarı 31.12.200</w:t>
            </w:r>
            <w:r w:rsidR="00E872FE" w:rsidRPr="00E872FE">
              <w:rPr>
                <w:rFonts w:ascii="Century" w:hAnsi="Century"/>
                <w:lang w:val="tr-TR"/>
              </w:rPr>
              <w:t>7</w:t>
            </w:r>
            <w:r w:rsidRPr="00E872FE">
              <w:rPr>
                <w:rFonts w:ascii="Century" w:hAnsi="Century"/>
                <w:lang w:val="tr-TR"/>
              </w:rPr>
              <w:t xml:space="preserve"> tarihi itibariyle </w:t>
            </w:r>
            <w:r w:rsidR="00E872FE" w:rsidRPr="00E872FE">
              <w:rPr>
                <w:rFonts w:ascii="Century" w:hAnsi="Century"/>
                <w:lang w:val="tr-TR"/>
              </w:rPr>
              <w:t>7.615</w:t>
            </w:r>
            <w:r w:rsidRPr="00E872FE">
              <w:rPr>
                <w:rFonts w:ascii="Century" w:hAnsi="Century"/>
                <w:lang w:val="tr-TR"/>
              </w:rPr>
              <w:t xml:space="preserve"> milyon YTL olup, özsermaye içinde ödenmiş sermayenin payı %</w:t>
            </w:r>
            <w:r w:rsidR="002547A1" w:rsidRPr="00E872FE">
              <w:rPr>
                <w:rFonts w:ascii="Century" w:hAnsi="Century"/>
                <w:lang w:val="tr-TR"/>
              </w:rPr>
              <w:t xml:space="preserve"> </w:t>
            </w:r>
            <w:r w:rsidR="00E872FE" w:rsidRPr="00E872FE">
              <w:rPr>
                <w:rFonts w:ascii="Century" w:hAnsi="Century"/>
                <w:lang w:val="tr-TR"/>
              </w:rPr>
              <w:t>50</w:t>
            </w:r>
            <w:r w:rsidRPr="00E872FE">
              <w:rPr>
                <w:rFonts w:ascii="Century" w:hAnsi="Century"/>
                <w:lang w:val="tr-TR"/>
              </w:rPr>
              <w:t>’</w:t>
            </w:r>
            <w:r w:rsidR="00E872FE" w:rsidRPr="00E872FE">
              <w:rPr>
                <w:rFonts w:ascii="Century" w:hAnsi="Century"/>
                <w:lang w:val="tr-TR"/>
              </w:rPr>
              <w:t>dir</w:t>
            </w:r>
            <w:r w:rsidRPr="00E872FE">
              <w:rPr>
                <w:rFonts w:ascii="Century" w:hAnsi="Century"/>
                <w:lang w:val="tr-TR"/>
              </w:rPr>
              <w:t xml:space="preserve">. Yıl sonu itibariyle konsolide net dönem karı </w:t>
            </w:r>
            <w:r w:rsidR="00E872FE" w:rsidRPr="00E872FE">
              <w:rPr>
                <w:rFonts w:ascii="Century" w:hAnsi="Century"/>
                <w:lang w:val="tr-TR"/>
              </w:rPr>
              <w:t>698</w:t>
            </w:r>
            <w:r w:rsidRPr="00E872FE">
              <w:rPr>
                <w:rFonts w:ascii="Century" w:hAnsi="Century"/>
                <w:lang w:val="tr-TR"/>
              </w:rPr>
              <w:t xml:space="preserve"> milyon YTL</w:t>
            </w:r>
            <w:r w:rsidR="00AA43E9" w:rsidRPr="00E872FE">
              <w:rPr>
                <w:rFonts w:ascii="Century" w:hAnsi="Century"/>
                <w:lang w:val="tr-TR"/>
              </w:rPr>
              <w:t xml:space="preserve"> olup</w:t>
            </w:r>
            <w:r w:rsidR="00096277" w:rsidRPr="00E872FE">
              <w:rPr>
                <w:rFonts w:ascii="Century" w:hAnsi="Century"/>
                <w:lang w:val="tr-TR"/>
              </w:rPr>
              <w:t>,</w:t>
            </w:r>
            <w:r w:rsidR="00AA43E9" w:rsidRPr="00E872FE">
              <w:rPr>
                <w:rFonts w:ascii="Century" w:hAnsi="Century"/>
                <w:lang w:val="tr-TR"/>
              </w:rPr>
              <w:t xml:space="preserve"> sektörde </w:t>
            </w:r>
            <w:r w:rsidR="00926768">
              <w:rPr>
                <w:rFonts w:ascii="Century" w:hAnsi="Century"/>
                <w:lang w:val="tr-TR"/>
              </w:rPr>
              <w:t>mevcut 61 şirketten</w:t>
            </w:r>
            <w:r w:rsidR="00AA43E9" w:rsidRPr="00E872FE">
              <w:rPr>
                <w:rFonts w:ascii="Century" w:hAnsi="Century"/>
                <w:lang w:val="tr-TR"/>
              </w:rPr>
              <w:t xml:space="preserve"> </w:t>
            </w:r>
            <w:r w:rsidR="00E872FE">
              <w:rPr>
                <w:rFonts w:ascii="Century" w:hAnsi="Century"/>
                <w:lang w:val="tr-TR"/>
              </w:rPr>
              <w:t>19</w:t>
            </w:r>
            <w:r w:rsidR="00926768">
              <w:rPr>
                <w:rFonts w:ascii="Century" w:hAnsi="Century"/>
                <w:lang w:val="tr-TR"/>
              </w:rPr>
              <w:t>’u</w:t>
            </w:r>
            <w:r w:rsidR="00AA43E9" w:rsidRPr="00E872FE">
              <w:rPr>
                <w:rFonts w:ascii="Century" w:hAnsi="Century"/>
                <w:lang w:val="tr-TR"/>
              </w:rPr>
              <w:t xml:space="preserve"> </w:t>
            </w:r>
            <w:r w:rsidR="00096277" w:rsidRPr="00E872FE">
              <w:rPr>
                <w:rFonts w:ascii="Century" w:hAnsi="Century"/>
                <w:lang w:val="tr-TR"/>
              </w:rPr>
              <w:t>200</w:t>
            </w:r>
            <w:r w:rsidR="00E872FE">
              <w:rPr>
                <w:rFonts w:ascii="Century" w:hAnsi="Century"/>
                <w:lang w:val="tr-TR"/>
              </w:rPr>
              <w:t>7</w:t>
            </w:r>
            <w:r w:rsidR="00096277" w:rsidRPr="00E872FE">
              <w:rPr>
                <w:rFonts w:ascii="Century" w:hAnsi="Century"/>
                <w:lang w:val="tr-TR"/>
              </w:rPr>
              <w:t xml:space="preserve"> yılını</w:t>
            </w:r>
            <w:r w:rsidR="00AA43E9" w:rsidRPr="00E872FE">
              <w:rPr>
                <w:rFonts w:ascii="Century" w:hAnsi="Century"/>
                <w:lang w:val="tr-TR"/>
              </w:rPr>
              <w:t xml:space="preserve"> </w:t>
            </w:r>
            <w:r w:rsidRPr="00E872FE">
              <w:rPr>
                <w:rFonts w:ascii="Century" w:hAnsi="Century"/>
                <w:lang w:val="tr-TR"/>
              </w:rPr>
              <w:t xml:space="preserve">zararla kapatmıştır. </w:t>
            </w:r>
          </w:p>
          <w:p w:rsidR="00CD6E9E" w:rsidRPr="00367FA3" w:rsidRDefault="00CD6E9E" w:rsidP="008D17FE">
            <w:pPr>
              <w:rPr>
                <w:rFonts w:ascii="Century" w:hAnsi="Century"/>
                <w:highlight w:val="yellow"/>
                <w:lang w:val="tr-TR"/>
              </w:rPr>
            </w:pPr>
          </w:p>
        </w:tc>
        <w:tc>
          <w:tcPr>
            <w:tcW w:w="236" w:type="dxa"/>
            <w:gridSpan w:val="2"/>
          </w:tcPr>
          <w:p w:rsidR="00CD6E9E" w:rsidRPr="00367FA3" w:rsidRDefault="00CD6E9E"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tc>
        <w:tc>
          <w:tcPr>
            <w:tcW w:w="4804" w:type="dxa"/>
          </w:tcPr>
          <w:p w:rsidR="00CD6E9E" w:rsidRPr="00367FA3" w:rsidRDefault="00CD6E9E" w:rsidP="008D17FE">
            <w:pPr>
              <w:rPr>
                <w:rFonts w:ascii="Century" w:hAnsi="Century"/>
                <w:highlight w:val="yellow"/>
                <w:lang w:val="tr-TR"/>
              </w:rPr>
            </w:pPr>
          </w:p>
          <w:p w:rsidR="00425B24" w:rsidRPr="00367FA3" w:rsidRDefault="00425B24" w:rsidP="008D17FE">
            <w:pPr>
              <w:rPr>
                <w:rFonts w:ascii="Century" w:hAnsi="Century"/>
                <w:highlight w:val="yellow"/>
                <w:lang w:val="tr-TR"/>
              </w:rPr>
            </w:pPr>
          </w:p>
          <w:p w:rsidR="00BC75A4" w:rsidRPr="00A41A00" w:rsidRDefault="00AA43E9" w:rsidP="00BC75A4">
            <w:pPr>
              <w:jc w:val="both"/>
              <w:rPr>
                <w:rFonts w:ascii="Century" w:hAnsi="Century"/>
                <w:color w:val="404040"/>
              </w:rPr>
            </w:pPr>
            <w:r w:rsidRPr="00A41A00">
              <w:rPr>
                <w:rFonts w:ascii="Century" w:hAnsi="Century"/>
                <w:color w:val="404040"/>
              </w:rPr>
              <w:t>The total amount of shareholder</w:t>
            </w:r>
            <w:r w:rsidR="00BC75A4" w:rsidRPr="00A41A00">
              <w:rPr>
                <w:rFonts w:ascii="Century" w:hAnsi="Century"/>
                <w:color w:val="404040"/>
              </w:rPr>
              <w:t>s</w:t>
            </w:r>
            <w:r w:rsidRPr="00A41A00">
              <w:rPr>
                <w:rFonts w:ascii="Century" w:hAnsi="Century"/>
                <w:color w:val="404040"/>
              </w:rPr>
              <w:t>’</w:t>
            </w:r>
            <w:r w:rsidR="00BC75A4" w:rsidRPr="00A41A00">
              <w:rPr>
                <w:rFonts w:ascii="Century" w:hAnsi="Century"/>
                <w:color w:val="404040"/>
              </w:rPr>
              <w:t xml:space="preserve"> equity of all insurance companie</w:t>
            </w:r>
            <w:r w:rsidR="009A05A2" w:rsidRPr="00A41A00">
              <w:rPr>
                <w:rFonts w:ascii="Century" w:hAnsi="Century"/>
                <w:color w:val="404040"/>
              </w:rPr>
              <w:t xml:space="preserve">s is YTL </w:t>
            </w:r>
            <w:r w:rsidR="00E872FE" w:rsidRPr="00A41A00">
              <w:rPr>
                <w:rFonts w:ascii="Century" w:hAnsi="Century"/>
                <w:color w:val="404040"/>
              </w:rPr>
              <w:t>7.615</w:t>
            </w:r>
            <w:r w:rsidR="00AB220A" w:rsidRPr="00A41A00">
              <w:rPr>
                <w:rFonts w:ascii="Century" w:hAnsi="Century"/>
                <w:color w:val="404040"/>
              </w:rPr>
              <w:t xml:space="preserve"> million as at </w:t>
            </w:r>
            <w:smartTag w:uri="urn:schemas-microsoft-com:office:smarttags" w:element="date">
              <w:smartTagPr>
                <w:attr w:name="Year" w:val="2007"/>
                <w:attr w:name="Day" w:val="31"/>
                <w:attr w:name="Month" w:val="12"/>
              </w:smartTagPr>
              <w:r w:rsidR="00BC75A4" w:rsidRPr="00A41A00">
                <w:rPr>
                  <w:rFonts w:ascii="Century" w:hAnsi="Century"/>
                  <w:color w:val="404040"/>
                </w:rPr>
                <w:t>December</w:t>
              </w:r>
              <w:r w:rsidR="00AB220A" w:rsidRPr="00A41A00">
                <w:rPr>
                  <w:rFonts w:ascii="Century" w:hAnsi="Century"/>
                  <w:color w:val="404040"/>
                </w:rPr>
                <w:t xml:space="preserve"> 31,</w:t>
              </w:r>
              <w:r w:rsidR="00BC75A4" w:rsidRPr="00A41A00">
                <w:rPr>
                  <w:rFonts w:ascii="Century" w:hAnsi="Century"/>
                  <w:color w:val="404040"/>
                </w:rPr>
                <w:t xml:space="preserve"> 200</w:t>
              </w:r>
              <w:r w:rsidR="00E872FE" w:rsidRPr="00A41A00">
                <w:rPr>
                  <w:rFonts w:ascii="Century" w:hAnsi="Century"/>
                  <w:color w:val="404040"/>
                </w:rPr>
                <w:t>7</w:t>
              </w:r>
            </w:smartTag>
            <w:r w:rsidR="00BC75A4" w:rsidRPr="00A41A00">
              <w:rPr>
                <w:rFonts w:ascii="Century" w:hAnsi="Century"/>
                <w:color w:val="404040"/>
              </w:rPr>
              <w:t>. The share of paid in capital in shareholders</w:t>
            </w:r>
            <w:r w:rsidRPr="00A41A00">
              <w:rPr>
                <w:rFonts w:ascii="Century" w:hAnsi="Century"/>
                <w:color w:val="404040"/>
              </w:rPr>
              <w:t>’</w:t>
            </w:r>
            <w:r w:rsidR="00BC75A4" w:rsidRPr="00A41A00">
              <w:rPr>
                <w:rFonts w:ascii="Century" w:hAnsi="Century"/>
                <w:color w:val="404040"/>
              </w:rPr>
              <w:t xml:space="preserve"> equity is </w:t>
            </w:r>
            <w:r w:rsidR="00E872FE" w:rsidRPr="00A41A00">
              <w:rPr>
                <w:rFonts w:ascii="Century" w:hAnsi="Century"/>
                <w:color w:val="404040"/>
              </w:rPr>
              <w:t>50</w:t>
            </w:r>
            <w:r w:rsidR="00BC75A4" w:rsidRPr="00A41A00">
              <w:rPr>
                <w:rFonts w:ascii="Century" w:hAnsi="Century"/>
                <w:color w:val="404040"/>
              </w:rPr>
              <w:t xml:space="preserve">%. Consolidated net profit for the period is YTL </w:t>
            </w:r>
            <w:r w:rsidR="00E872FE" w:rsidRPr="00A41A00">
              <w:rPr>
                <w:rFonts w:ascii="Century" w:hAnsi="Century"/>
                <w:color w:val="404040"/>
              </w:rPr>
              <w:t>698</w:t>
            </w:r>
            <w:r w:rsidR="00BC75A4" w:rsidRPr="00A41A00">
              <w:rPr>
                <w:rFonts w:ascii="Century" w:hAnsi="Century"/>
                <w:color w:val="404040"/>
              </w:rPr>
              <w:t xml:space="preserve"> million at the end of the year. The balance sheets of </w:t>
            </w:r>
            <w:r w:rsidR="00E872FE" w:rsidRPr="00A41A00">
              <w:rPr>
                <w:rFonts w:ascii="Century" w:hAnsi="Century"/>
                <w:color w:val="404040"/>
              </w:rPr>
              <w:t>19</w:t>
            </w:r>
            <w:r w:rsidR="00BC75A4" w:rsidRPr="00A41A00">
              <w:rPr>
                <w:rFonts w:ascii="Century" w:hAnsi="Century"/>
                <w:color w:val="404040"/>
              </w:rPr>
              <w:t xml:space="preserve"> companies showed a loss at the end of the period. </w:t>
            </w:r>
          </w:p>
          <w:p w:rsidR="00BC75A4" w:rsidRPr="00367FA3" w:rsidRDefault="00BC75A4" w:rsidP="008D17FE">
            <w:pPr>
              <w:rPr>
                <w:rFonts w:ascii="Century" w:hAnsi="Century"/>
                <w:highlight w:val="yellow"/>
                <w:lang w:val="tr-TR"/>
              </w:rPr>
            </w:pPr>
          </w:p>
        </w:tc>
      </w:tr>
      <w:tr w:rsidR="006C6FA8" w:rsidRPr="00367FA3">
        <w:tc>
          <w:tcPr>
            <w:tcW w:w="9855" w:type="dxa"/>
            <w:gridSpan w:val="5"/>
          </w:tcPr>
          <w:p w:rsidR="0001780E" w:rsidRPr="00E872FE" w:rsidRDefault="0001780E" w:rsidP="000621EB">
            <w:pPr>
              <w:pStyle w:val="ResimYazs"/>
              <w:jc w:val="center"/>
              <w:rPr>
                <w:rFonts w:ascii="Century" w:hAnsi="Century"/>
                <w:lang w:val="tr-TR"/>
              </w:rPr>
            </w:pPr>
            <w:bookmarkStart w:id="72" w:name="_Toc170665546"/>
            <w:r w:rsidRPr="00E872FE">
              <w:rPr>
                <w:rFonts w:ascii="Century" w:hAnsi="Century"/>
                <w:lang w:val="tr-TR"/>
              </w:rPr>
              <w:t xml:space="preserve">Tablo </w:t>
            </w:r>
            <w:r w:rsidRPr="00E872FE">
              <w:rPr>
                <w:rFonts w:ascii="Century" w:hAnsi="Century"/>
                <w:lang w:val="tr-TR"/>
              </w:rPr>
              <w:fldChar w:fldCharType="begin"/>
            </w:r>
            <w:r w:rsidRPr="00E872FE">
              <w:rPr>
                <w:rFonts w:ascii="Century" w:hAnsi="Century"/>
                <w:lang w:val="tr-TR"/>
              </w:rPr>
              <w:instrText xml:space="preserve"> STYLEREF 2 \s </w:instrText>
            </w:r>
            <w:r w:rsidRPr="00E872FE">
              <w:rPr>
                <w:rFonts w:ascii="Century" w:hAnsi="Century"/>
                <w:lang w:val="tr-TR"/>
              </w:rPr>
              <w:fldChar w:fldCharType="separate"/>
            </w:r>
            <w:r w:rsidR="00DA718E">
              <w:rPr>
                <w:rFonts w:ascii="Century" w:hAnsi="Century"/>
                <w:noProof/>
                <w:lang w:val="tr-TR"/>
              </w:rPr>
              <w:t>1.4</w:t>
            </w:r>
            <w:r w:rsidRPr="00E872FE">
              <w:rPr>
                <w:rFonts w:ascii="Century" w:hAnsi="Century"/>
                <w:lang w:val="tr-TR"/>
              </w:rPr>
              <w:fldChar w:fldCharType="end"/>
            </w:r>
            <w:r w:rsidRPr="00E872FE">
              <w:rPr>
                <w:rFonts w:ascii="Century" w:hAnsi="Century"/>
                <w:lang w:val="tr-TR"/>
              </w:rPr>
              <w:noBreakHyphen/>
            </w:r>
            <w:r w:rsidRPr="00E872FE">
              <w:rPr>
                <w:rFonts w:ascii="Century" w:hAnsi="Century"/>
                <w:lang w:val="tr-TR"/>
              </w:rPr>
              <w:fldChar w:fldCharType="begin"/>
            </w:r>
            <w:r w:rsidRPr="00E872FE">
              <w:rPr>
                <w:rFonts w:ascii="Century" w:hAnsi="Century"/>
                <w:lang w:val="tr-TR"/>
              </w:rPr>
              <w:instrText xml:space="preserve"> SEQ Tablo \* ARABIC \s 2 </w:instrText>
            </w:r>
            <w:r w:rsidRPr="00E872FE">
              <w:rPr>
                <w:rFonts w:ascii="Century" w:hAnsi="Century"/>
                <w:lang w:val="tr-TR"/>
              </w:rPr>
              <w:fldChar w:fldCharType="separate"/>
            </w:r>
            <w:r w:rsidR="00DA718E">
              <w:rPr>
                <w:rFonts w:ascii="Century" w:hAnsi="Century"/>
                <w:noProof/>
                <w:lang w:val="tr-TR"/>
              </w:rPr>
              <w:t>11</w:t>
            </w:r>
            <w:r w:rsidRPr="00E872FE">
              <w:rPr>
                <w:rFonts w:ascii="Century" w:hAnsi="Century"/>
                <w:lang w:val="tr-TR"/>
              </w:rPr>
              <w:fldChar w:fldCharType="end"/>
            </w:r>
            <w:r w:rsidRPr="00E872FE">
              <w:rPr>
                <w:rFonts w:ascii="Century" w:hAnsi="Century"/>
                <w:lang w:val="tr-TR"/>
              </w:rPr>
              <w:t xml:space="preserve">; </w:t>
            </w:r>
            <w:r w:rsidRPr="00E872FE">
              <w:rPr>
                <w:rFonts w:ascii="Century" w:hAnsi="Century"/>
                <w:bCs w:val="0"/>
                <w:lang w:val="tr-TR"/>
              </w:rPr>
              <w:t>Öz</w:t>
            </w:r>
            <w:r w:rsidR="009E5A95" w:rsidRPr="00E872FE">
              <w:rPr>
                <w:rFonts w:ascii="Century" w:hAnsi="Century"/>
                <w:bCs w:val="0"/>
                <w:lang w:val="tr-TR"/>
              </w:rPr>
              <w:t>sermaye</w:t>
            </w:r>
            <w:r w:rsidRPr="00E872FE">
              <w:rPr>
                <w:rFonts w:ascii="Century" w:hAnsi="Century"/>
                <w:bCs w:val="0"/>
                <w:lang w:val="tr-TR"/>
              </w:rPr>
              <w:t xml:space="preserve"> – </w:t>
            </w:r>
            <w:r w:rsidR="0082296A" w:rsidRPr="00E872FE">
              <w:rPr>
                <w:rFonts w:ascii="Century" w:hAnsi="Century"/>
                <w:b w:val="0"/>
                <w:bCs w:val="0"/>
                <w:i/>
                <w:lang w:val="tr-TR"/>
              </w:rPr>
              <w:t>Shareholder</w:t>
            </w:r>
            <w:r w:rsidRPr="00E872FE">
              <w:rPr>
                <w:rFonts w:ascii="Century" w:hAnsi="Century"/>
                <w:b w:val="0"/>
                <w:bCs w:val="0"/>
                <w:i/>
                <w:lang w:val="tr-TR"/>
              </w:rPr>
              <w:t>s</w:t>
            </w:r>
            <w:r w:rsidR="0082296A" w:rsidRPr="00E872FE">
              <w:rPr>
                <w:rFonts w:ascii="Century" w:hAnsi="Century"/>
                <w:b w:val="0"/>
                <w:bCs w:val="0"/>
                <w:i/>
                <w:lang w:val="tr-TR"/>
              </w:rPr>
              <w:t>’</w:t>
            </w:r>
            <w:r w:rsidRPr="00E872FE">
              <w:rPr>
                <w:rFonts w:ascii="Century" w:hAnsi="Century"/>
                <w:b w:val="0"/>
                <w:bCs w:val="0"/>
                <w:i/>
                <w:lang w:val="tr-TR"/>
              </w:rPr>
              <w:t xml:space="preserve"> Equity</w:t>
            </w:r>
            <w:bookmarkEnd w:id="72"/>
          </w:p>
          <w:p w:rsidR="006C6FA8" w:rsidRPr="000B230B" w:rsidRDefault="000B230B" w:rsidP="000621EB">
            <w:pPr>
              <w:jc w:val="center"/>
              <w:rPr>
                <w:rFonts w:ascii="Century" w:hAnsi="Century"/>
                <w:highlight w:val="yellow"/>
                <w:lang w:val="tr-TR"/>
              </w:rPr>
            </w:pPr>
            <w:r w:rsidRPr="000B230B">
              <w:rPr>
                <w:rFonts w:ascii="Century" w:hAnsi="Century"/>
                <w:lang w:val="tr-TR"/>
              </w:rPr>
              <w:pict>
                <v:shape id="_x0000_i1063" type="#_x0000_t75" style="width:481.5pt;height:105.75pt">
                  <v:imagedata r:id="rId53" o:title=""/>
                </v:shape>
              </w:pict>
            </w:r>
          </w:p>
          <w:p w:rsidR="00425B24" w:rsidRPr="00367FA3" w:rsidRDefault="00425B24" w:rsidP="00132F40">
            <w:pPr>
              <w:rPr>
                <w:rFonts w:ascii="Century" w:hAnsi="Century"/>
                <w:highlight w:val="yellow"/>
                <w:lang w:val="tr-TR"/>
              </w:rPr>
            </w:pPr>
          </w:p>
        </w:tc>
      </w:tr>
      <w:tr w:rsidR="00CD6E9E" w:rsidRPr="00367FA3">
        <w:tc>
          <w:tcPr>
            <w:tcW w:w="4815" w:type="dxa"/>
            <w:gridSpan w:val="2"/>
          </w:tcPr>
          <w:p w:rsidR="0001780E" w:rsidRPr="00853AAC" w:rsidRDefault="0001780E" w:rsidP="00E90B2C">
            <w:pPr>
              <w:pStyle w:val="Balk3"/>
              <w:spacing w:before="0" w:after="0"/>
              <w:ind w:left="0"/>
              <w:jc w:val="both"/>
              <w:rPr>
                <w:rFonts w:ascii="Century" w:hAnsi="Century"/>
                <w:sz w:val="24"/>
                <w:szCs w:val="24"/>
                <w:lang w:val="tr-TR"/>
              </w:rPr>
            </w:pPr>
            <w:bookmarkStart w:id="73" w:name="_Toc170253091"/>
            <w:bookmarkStart w:id="74" w:name="_Toc198287701"/>
            <w:bookmarkStart w:id="75" w:name="_Toc199251248"/>
            <w:r w:rsidRPr="00853AAC">
              <w:rPr>
                <w:rFonts w:ascii="Century" w:hAnsi="Century"/>
                <w:sz w:val="24"/>
                <w:szCs w:val="24"/>
                <w:lang w:val="tr-TR"/>
              </w:rPr>
              <w:lastRenderedPageBreak/>
              <w:t>Sigorta</w:t>
            </w:r>
            <w:r w:rsidR="00E90B2C" w:rsidRPr="00853AAC">
              <w:rPr>
                <w:rFonts w:ascii="Century" w:hAnsi="Century"/>
                <w:sz w:val="24"/>
                <w:szCs w:val="24"/>
                <w:lang w:val="tr-TR"/>
              </w:rPr>
              <w:t>cılık</w:t>
            </w:r>
            <w:r w:rsidRPr="00853AAC">
              <w:rPr>
                <w:rFonts w:ascii="Century" w:hAnsi="Century"/>
                <w:sz w:val="24"/>
                <w:szCs w:val="24"/>
                <w:lang w:val="tr-TR"/>
              </w:rPr>
              <w:t xml:space="preserve"> ve Bireysel Emeklilik Sektörü Konsolide Gelir Tabloları</w:t>
            </w:r>
            <w:bookmarkEnd w:id="73"/>
            <w:bookmarkEnd w:id="74"/>
            <w:bookmarkEnd w:id="75"/>
          </w:p>
          <w:p w:rsidR="004E5E3F" w:rsidRPr="00853AAC" w:rsidRDefault="004E5E3F" w:rsidP="004E5E3F">
            <w:pPr>
              <w:rPr>
                <w:lang w:val="tr-TR"/>
              </w:rPr>
            </w:pPr>
          </w:p>
          <w:p w:rsidR="0001780E" w:rsidRPr="00853AAC" w:rsidRDefault="0001780E" w:rsidP="004E5E3F">
            <w:pPr>
              <w:pStyle w:val="Balk4"/>
              <w:keepNext w:val="0"/>
              <w:numPr>
                <w:ilvl w:val="0"/>
                <w:numId w:val="12"/>
              </w:numPr>
              <w:spacing w:before="0" w:after="0"/>
              <w:rPr>
                <w:rFonts w:ascii="Century" w:hAnsi="Century"/>
                <w:sz w:val="24"/>
                <w:szCs w:val="24"/>
                <w:lang w:val="tr-TR"/>
              </w:rPr>
            </w:pPr>
            <w:bookmarkStart w:id="76" w:name="_Toc198287702"/>
            <w:bookmarkStart w:id="77" w:name="_Toc199251249"/>
            <w:r w:rsidRPr="00853AAC">
              <w:rPr>
                <w:rFonts w:ascii="Century" w:hAnsi="Century"/>
                <w:sz w:val="24"/>
                <w:szCs w:val="24"/>
                <w:lang w:val="tr-TR"/>
              </w:rPr>
              <w:t>Gelir Gider Hesapları</w:t>
            </w:r>
            <w:bookmarkEnd w:id="76"/>
            <w:bookmarkEnd w:id="77"/>
          </w:p>
          <w:p w:rsidR="0001780E" w:rsidRDefault="0001780E" w:rsidP="008D17FE">
            <w:pPr>
              <w:jc w:val="both"/>
              <w:rPr>
                <w:rFonts w:ascii="Century" w:hAnsi="Century"/>
                <w:lang w:val="tr-TR"/>
              </w:rPr>
            </w:pPr>
          </w:p>
          <w:p w:rsidR="00853AAC" w:rsidRPr="00853AAC" w:rsidRDefault="00853AAC" w:rsidP="00853AAC">
            <w:pPr>
              <w:jc w:val="both"/>
              <w:rPr>
                <w:rFonts w:ascii="Century" w:hAnsi="Century"/>
                <w:lang w:val="tr-TR"/>
              </w:rPr>
            </w:pPr>
            <w:r>
              <w:rPr>
                <w:rFonts w:ascii="Century" w:hAnsi="Century"/>
                <w:lang w:val="tr-TR"/>
              </w:rPr>
              <w:t>31.12.2007</w:t>
            </w:r>
            <w:r w:rsidRPr="00853AAC">
              <w:rPr>
                <w:rFonts w:ascii="Century" w:hAnsi="Century"/>
                <w:lang w:val="tr-TR"/>
              </w:rPr>
              <w:t xml:space="preserve"> tarihi itibariyle sigorta, reasürans ve emeklilik şirketlerinin konsolide gelir tabloları Tablo 2’de, şirket bazında ayrıntısı ise Tablo 7’de verilmiştir. </w:t>
            </w:r>
          </w:p>
          <w:p w:rsidR="00853AAC" w:rsidRDefault="00853AAC" w:rsidP="008D17FE">
            <w:pPr>
              <w:jc w:val="both"/>
              <w:rPr>
                <w:rFonts w:ascii="Century" w:hAnsi="Century"/>
                <w:lang w:val="tr-TR"/>
              </w:rPr>
            </w:pPr>
          </w:p>
          <w:p w:rsidR="0001780E" w:rsidRPr="00853AAC" w:rsidRDefault="0001780E" w:rsidP="008D17FE">
            <w:pPr>
              <w:jc w:val="both"/>
              <w:rPr>
                <w:rFonts w:ascii="Century" w:hAnsi="Century"/>
                <w:lang w:val="tr-TR"/>
              </w:rPr>
            </w:pPr>
            <w:r w:rsidRPr="00853AAC">
              <w:rPr>
                <w:rFonts w:ascii="Century" w:hAnsi="Century"/>
                <w:lang w:val="tr-TR"/>
              </w:rPr>
              <w:t xml:space="preserve">Gelir ve gider hesaplarının seyri grup şirket ve faaliyet ayrımında incelendiğinde, 2005 yılında Sigortacılık Tek Düzen Hesap Planı’nda yapılan değişiklik ile alınan prim ve ödenen tazminatların net olarak gösterilmesinin yanı sıra kazanılmamış primler karşılığının teknik gelirler içerisinde düzeltme kalemi olarak yer alması sonucu toplam teknik gelir ve teknik gider tutarlarında hesaben azalış olmuştur. Ayrıca faaliyet giderlerinin teknik gider unsuru olarak </w:t>
            </w:r>
            <w:r w:rsidR="000621EB" w:rsidRPr="00853AAC">
              <w:rPr>
                <w:rFonts w:ascii="Century" w:hAnsi="Century"/>
                <w:lang w:val="tr-TR"/>
              </w:rPr>
              <w:t xml:space="preserve">dikkate </w:t>
            </w:r>
            <w:r w:rsidRPr="00853AAC">
              <w:rPr>
                <w:rFonts w:ascii="Century" w:hAnsi="Century"/>
                <w:lang w:val="tr-TR"/>
              </w:rPr>
              <w:t xml:space="preserve">alınması 2005 yılı teknik dengesinde </w:t>
            </w:r>
            <w:r w:rsidR="00876308" w:rsidRPr="00853AAC">
              <w:rPr>
                <w:rFonts w:ascii="Century" w:hAnsi="Century"/>
                <w:lang w:val="tr-TR"/>
              </w:rPr>
              <w:t xml:space="preserve">de </w:t>
            </w:r>
            <w:r w:rsidRPr="00853AAC">
              <w:rPr>
                <w:rFonts w:ascii="Century" w:hAnsi="Century"/>
                <w:lang w:val="tr-TR"/>
              </w:rPr>
              <w:t xml:space="preserve">azalışa neden olmuştur. </w:t>
            </w:r>
          </w:p>
          <w:p w:rsidR="00236773" w:rsidRPr="00853AAC" w:rsidRDefault="00236773" w:rsidP="008D17FE">
            <w:pPr>
              <w:jc w:val="both"/>
              <w:rPr>
                <w:rFonts w:ascii="Century" w:hAnsi="Century"/>
                <w:lang w:val="tr-TR"/>
              </w:rPr>
            </w:pPr>
          </w:p>
          <w:p w:rsidR="00E9638A" w:rsidRPr="00853AAC" w:rsidRDefault="0001780E" w:rsidP="00DF737E">
            <w:pPr>
              <w:jc w:val="both"/>
              <w:rPr>
                <w:rFonts w:ascii="Century" w:hAnsi="Century"/>
                <w:lang w:val="tr-TR"/>
              </w:rPr>
            </w:pPr>
            <w:r w:rsidRPr="00853AAC">
              <w:rPr>
                <w:rFonts w:ascii="Century" w:hAnsi="Century"/>
                <w:lang w:val="tr-TR"/>
              </w:rPr>
              <w:t>Hayat dışı sigorta şirketleri için teknik dengede azalış 2006 yılında da devam etmiştir. Hayat/</w:t>
            </w:r>
            <w:r w:rsidR="00876308" w:rsidRPr="00853AAC">
              <w:rPr>
                <w:rFonts w:ascii="Century" w:hAnsi="Century"/>
                <w:lang w:val="tr-TR"/>
              </w:rPr>
              <w:t>e</w:t>
            </w:r>
            <w:r w:rsidRPr="00853AAC">
              <w:rPr>
                <w:rFonts w:ascii="Century" w:hAnsi="Century"/>
                <w:lang w:val="tr-TR"/>
              </w:rPr>
              <w:t>meklilik şirketlerinde emeklilik faaliyetlerindeki zararın etkisiyle teknik zarar söz konusudur. Reasürans şirketlerinde ise teknik dengede istikrarlı bir seyir görülme</w:t>
            </w:r>
            <w:r w:rsidR="000621EB" w:rsidRPr="00853AAC">
              <w:rPr>
                <w:rFonts w:ascii="Century" w:hAnsi="Century"/>
                <w:lang w:val="tr-TR"/>
              </w:rPr>
              <w:t>mekle birlikte</w:t>
            </w:r>
            <w:r w:rsidR="00876308" w:rsidRPr="00853AAC">
              <w:rPr>
                <w:rFonts w:ascii="Century" w:hAnsi="Century"/>
                <w:lang w:val="tr-TR"/>
              </w:rPr>
              <w:t>,</w:t>
            </w:r>
            <w:r w:rsidRPr="00853AAC">
              <w:rPr>
                <w:rFonts w:ascii="Century" w:hAnsi="Century"/>
                <w:lang w:val="tr-TR"/>
              </w:rPr>
              <w:t xml:space="preserve"> dönem karı artış eğilimindedir.  </w:t>
            </w:r>
          </w:p>
          <w:p w:rsidR="00E463FC" w:rsidRPr="00853AAC" w:rsidRDefault="00E463FC" w:rsidP="00DF737E">
            <w:pPr>
              <w:jc w:val="both"/>
              <w:rPr>
                <w:rFonts w:ascii="Century" w:hAnsi="Century"/>
                <w:lang w:val="tr-TR"/>
              </w:rPr>
            </w:pPr>
          </w:p>
          <w:p w:rsidR="00E463FC" w:rsidRPr="00853AAC" w:rsidRDefault="00853AAC" w:rsidP="00853AAC">
            <w:pPr>
              <w:jc w:val="both"/>
              <w:rPr>
                <w:rFonts w:ascii="Century" w:hAnsi="Century"/>
                <w:lang w:val="tr-TR"/>
              </w:rPr>
            </w:pPr>
            <w:r w:rsidRPr="00853AAC">
              <w:rPr>
                <w:rFonts w:ascii="Century" w:hAnsi="Century"/>
                <w:lang w:val="tr-TR"/>
              </w:rPr>
              <w:t>2007 yılında ise gerek hayat</w:t>
            </w:r>
            <w:r w:rsidR="00CF441B">
              <w:rPr>
                <w:rFonts w:ascii="Century" w:hAnsi="Century"/>
                <w:lang w:val="tr-TR"/>
              </w:rPr>
              <w:t xml:space="preserve"> dışı sigorta şirketleri, gerek</w:t>
            </w:r>
            <w:r w:rsidRPr="00853AAC">
              <w:rPr>
                <w:rFonts w:ascii="Century" w:hAnsi="Century"/>
                <w:lang w:val="tr-TR"/>
              </w:rPr>
              <w:t xml:space="preserve"> hayat ve hayat / emeklilik şirketleri için teknik karda önemli ölçüde artış meydana gelmiştir. </w:t>
            </w:r>
          </w:p>
          <w:p w:rsidR="00E463FC" w:rsidRPr="00853AAC" w:rsidRDefault="00E463FC" w:rsidP="008D17FE">
            <w:pPr>
              <w:rPr>
                <w:rFonts w:ascii="Century" w:hAnsi="Century"/>
                <w:lang w:val="tr-TR"/>
              </w:rPr>
            </w:pPr>
          </w:p>
          <w:p w:rsidR="00E463FC" w:rsidRPr="00853AAC" w:rsidRDefault="00E463FC" w:rsidP="008D17FE">
            <w:pPr>
              <w:rPr>
                <w:rFonts w:ascii="Century" w:hAnsi="Century"/>
                <w:lang w:val="tr-TR"/>
              </w:rPr>
            </w:pPr>
          </w:p>
          <w:p w:rsidR="00E463FC" w:rsidRDefault="00E463FC" w:rsidP="008D17FE">
            <w:pPr>
              <w:rPr>
                <w:rFonts w:ascii="Century" w:hAnsi="Century"/>
                <w:lang w:val="tr-TR"/>
              </w:rPr>
            </w:pPr>
          </w:p>
          <w:p w:rsidR="00853AAC" w:rsidRPr="00853AAC" w:rsidRDefault="00853AAC" w:rsidP="008D17FE">
            <w:pPr>
              <w:rPr>
                <w:rFonts w:ascii="Century" w:hAnsi="Century"/>
                <w:lang w:val="tr-TR"/>
              </w:rPr>
            </w:pPr>
          </w:p>
          <w:p w:rsidR="00E463FC" w:rsidRDefault="00E463FC" w:rsidP="008D17FE">
            <w:pPr>
              <w:rPr>
                <w:rFonts w:ascii="Century" w:hAnsi="Century"/>
                <w:highlight w:val="yellow"/>
                <w:lang w:val="tr-TR"/>
              </w:rPr>
            </w:pPr>
          </w:p>
          <w:p w:rsidR="00E70D98" w:rsidRPr="00367FA3" w:rsidRDefault="00E70D98" w:rsidP="008D17FE">
            <w:pPr>
              <w:rPr>
                <w:rFonts w:ascii="Century" w:hAnsi="Century"/>
                <w:highlight w:val="yellow"/>
                <w:lang w:val="tr-TR"/>
              </w:rPr>
            </w:pPr>
          </w:p>
          <w:p w:rsidR="00E463FC" w:rsidRPr="00367FA3" w:rsidRDefault="00E463FC" w:rsidP="008D17FE">
            <w:pPr>
              <w:rPr>
                <w:rFonts w:ascii="Century" w:hAnsi="Century"/>
                <w:highlight w:val="yellow"/>
                <w:lang w:val="tr-TR"/>
              </w:rPr>
            </w:pPr>
          </w:p>
        </w:tc>
        <w:tc>
          <w:tcPr>
            <w:tcW w:w="236" w:type="dxa"/>
            <w:gridSpan w:val="2"/>
          </w:tcPr>
          <w:p w:rsidR="00CD6E9E" w:rsidRPr="00367FA3" w:rsidRDefault="00CD6E9E" w:rsidP="008D17FE">
            <w:pPr>
              <w:rPr>
                <w:rFonts w:ascii="Century" w:hAnsi="Century"/>
                <w:highlight w:val="yellow"/>
                <w:lang w:val="tr-TR"/>
              </w:rPr>
            </w:pPr>
          </w:p>
        </w:tc>
        <w:tc>
          <w:tcPr>
            <w:tcW w:w="4804" w:type="dxa"/>
          </w:tcPr>
          <w:p w:rsidR="00236773" w:rsidRPr="00A41A00" w:rsidRDefault="00457FB8" w:rsidP="004E5E3F">
            <w:pPr>
              <w:rPr>
                <w:rFonts w:ascii="Century" w:hAnsi="Century"/>
                <w:b/>
                <w:color w:val="404040"/>
              </w:rPr>
            </w:pPr>
            <w:r w:rsidRPr="00A41A00">
              <w:rPr>
                <w:rFonts w:ascii="Century" w:hAnsi="Century"/>
                <w:b/>
                <w:color w:val="404040"/>
              </w:rPr>
              <w:t>1</w:t>
            </w:r>
            <w:r w:rsidR="00236773" w:rsidRPr="00A41A00">
              <w:rPr>
                <w:rFonts w:ascii="Century" w:hAnsi="Century"/>
                <w:b/>
                <w:color w:val="404040"/>
              </w:rPr>
              <w:t>.4.2.  Consolidated Income Statement of  Insurance and Private Pension Sector</w:t>
            </w:r>
            <w:r w:rsidR="00752D5D" w:rsidRPr="00A41A00">
              <w:rPr>
                <w:rFonts w:ascii="Century" w:hAnsi="Century"/>
                <w:b/>
                <w:color w:val="404040"/>
              </w:rPr>
              <w:t>s</w:t>
            </w:r>
            <w:r w:rsidR="00236773" w:rsidRPr="00A41A00">
              <w:rPr>
                <w:rFonts w:ascii="Century" w:hAnsi="Century"/>
                <w:b/>
                <w:color w:val="404040"/>
              </w:rPr>
              <w:t xml:space="preserve"> </w:t>
            </w:r>
          </w:p>
          <w:p w:rsidR="00CD6E9E" w:rsidRPr="00A41A00" w:rsidRDefault="00CD6E9E" w:rsidP="008D17FE">
            <w:pPr>
              <w:rPr>
                <w:rFonts w:ascii="Century" w:hAnsi="Century"/>
                <w:color w:val="404040"/>
                <w:lang w:val="tr-TR"/>
              </w:rPr>
            </w:pPr>
          </w:p>
          <w:p w:rsidR="00236773" w:rsidRPr="00A41A00" w:rsidRDefault="00236773" w:rsidP="00236773">
            <w:pPr>
              <w:rPr>
                <w:rFonts w:ascii="Century" w:hAnsi="Century"/>
                <w:b/>
                <w:color w:val="404040"/>
              </w:rPr>
            </w:pPr>
            <w:r w:rsidRPr="00A41A00">
              <w:rPr>
                <w:rFonts w:ascii="Century" w:hAnsi="Century"/>
                <w:b/>
                <w:color w:val="404040"/>
              </w:rPr>
              <w:t xml:space="preserve">      A. Income and Expenditure Accounts</w:t>
            </w:r>
          </w:p>
          <w:p w:rsidR="00236773" w:rsidRPr="00A41A00" w:rsidRDefault="00236773" w:rsidP="008D17FE">
            <w:pPr>
              <w:rPr>
                <w:rFonts w:ascii="Century" w:hAnsi="Century"/>
                <w:color w:val="404040"/>
                <w:lang w:val="tr-TR"/>
              </w:rPr>
            </w:pPr>
          </w:p>
          <w:p w:rsidR="00853AAC" w:rsidRPr="00A41A00" w:rsidRDefault="00853AAC" w:rsidP="00853AAC">
            <w:pPr>
              <w:jc w:val="both"/>
              <w:rPr>
                <w:rFonts w:ascii="Century" w:hAnsi="Century"/>
                <w:color w:val="404040"/>
              </w:rPr>
            </w:pPr>
            <w:r w:rsidRPr="00A41A00">
              <w:rPr>
                <w:rFonts w:ascii="Century" w:hAnsi="Century"/>
                <w:color w:val="404040"/>
              </w:rPr>
              <w:t xml:space="preserve">As at </w:t>
            </w:r>
            <w:smartTag w:uri="urn:schemas-microsoft-com:office:smarttags" w:element="date">
              <w:smartTagPr>
                <w:attr w:name="Year" w:val="2006"/>
                <w:attr w:name="Day" w:val="31"/>
                <w:attr w:name="Month" w:val="12"/>
              </w:smartTagPr>
              <w:r w:rsidRPr="00A41A00">
                <w:rPr>
                  <w:rFonts w:ascii="Century" w:hAnsi="Century"/>
                  <w:color w:val="404040"/>
                </w:rPr>
                <w:t>December 31, 2006</w:t>
              </w:r>
            </w:smartTag>
            <w:r w:rsidRPr="00A41A00">
              <w:rPr>
                <w:rFonts w:ascii="Century" w:hAnsi="Century"/>
                <w:color w:val="404040"/>
              </w:rPr>
              <w:t xml:space="preserve">, the consolidated income statement of insurance, reinsurance and private pension companies takes place in Table 2, the detailed statement per companies takes place in Table 7. </w:t>
            </w:r>
          </w:p>
          <w:p w:rsidR="00853AAC" w:rsidRPr="00A41A00" w:rsidRDefault="00853AAC" w:rsidP="008D17FE">
            <w:pPr>
              <w:rPr>
                <w:rFonts w:ascii="Century" w:hAnsi="Century"/>
                <w:color w:val="404040"/>
                <w:lang w:val="tr-TR"/>
              </w:rPr>
            </w:pPr>
          </w:p>
          <w:p w:rsidR="00236773" w:rsidRPr="00A41A00" w:rsidRDefault="00236773" w:rsidP="00236773">
            <w:pPr>
              <w:jc w:val="both"/>
              <w:rPr>
                <w:rFonts w:ascii="Century" w:hAnsi="Century"/>
                <w:color w:val="404040"/>
              </w:rPr>
            </w:pPr>
            <w:r w:rsidRPr="00A41A00">
              <w:rPr>
                <w:rFonts w:ascii="Century" w:hAnsi="Century"/>
                <w:color w:val="404040"/>
              </w:rPr>
              <w:t xml:space="preserve">As an adjustment made in “uniform chart of account” in year 2005, besides gross premiums written and paid losses was kept net, the accounts of technical income and technical expenditure decreased because of provision for unearned premiums took place in technical incomes. Also considering the operating expenditures as technical expenditure caused decrease in the technical balances of 2005. </w:t>
            </w:r>
          </w:p>
          <w:p w:rsidR="00236773" w:rsidRPr="00A41A00" w:rsidRDefault="00236773" w:rsidP="008D17FE">
            <w:pPr>
              <w:rPr>
                <w:rFonts w:ascii="Century" w:hAnsi="Century"/>
                <w:color w:val="404040"/>
                <w:lang w:val="tr-TR"/>
              </w:rPr>
            </w:pPr>
          </w:p>
          <w:p w:rsidR="00236773" w:rsidRPr="00A41A00" w:rsidRDefault="00236773" w:rsidP="008D17FE">
            <w:pPr>
              <w:rPr>
                <w:rFonts w:ascii="Century" w:hAnsi="Century"/>
                <w:color w:val="404040"/>
                <w:lang w:val="tr-TR"/>
              </w:rPr>
            </w:pPr>
          </w:p>
          <w:p w:rsidR="00236773" w:rsidRPr="00A41A00" w:rsidRDefault="00236773" w:rsidP="008D17FE">
            <w:pPr>
              <w:rPr>
                <w:rFonts w:ascii="Century" w:hAnsi="Century"/>
                <w:color w:val="404040"/>
                <w:lang w:val="tr-TR"/>
              </w:rPr>
            </w:pPr>
          </w:p>
          <w:p w:rsidR="00236773" w:rsidRPr="00A41A00" w:rsidRDefault="00236773" w:rsidP="008D17FE">
            <w:pPr>
              <w:rPr>
                <w:rFonts w:ascii="Century" w:hAnsi="Century"/>
                <w:color w:val="404040"/>
                <w:lang w:val="tr-TR"/>
              </w:rPr>
            </w:pPr>
          </w:p>
          <w:p w:rsidR="00236773" w:rsidRPr="00A41A00" w:rsidRDefault="00236773" w:rsidP="00236773">
            <w:pPr>
              <w:jc w:val="both"/>
              <w:rPr>
                <w:rFonts w:ascii="Century" w:hAnsi="Century"/>
                <w:color w:val="404040"/>
              </w:rPr>
            </w:pPr>
            <w:r w:rsidRPr="00A41A00">
              <w:rPr>
                <w:rFonts w:ascii="Century" w:hAnsi="Century"/>
                <w:color w:val="404040"/>
              </w:rPr>
              <w:t>The decrease in technical balance of non–life insurance companies continued in 2006. Loss in pension activities caused life/pension companies to bear loss. There isn’t a steady movement in technical balance of reinsurance companies in years however the profit continued ongoing uptrend.</w:t>
            </w:r>
          </w:p>
          <w:p w:rsidR="00236773" w:rsidRPr="00A41A00" w:rsidRDefault="00236773" w:rsidP="008D17FE">
            <w:pPr>
              <w:rPr>
                <w:rFonts w:ascii="Century" w:hAnsi="Century"/>
                <w:color w:val="404040"/>
                <w:highlight w:val="yellow"/>
                <w:lang w:val="tr-TR"/>
              </w:rPr>
            </w:pPr>
          </w:p>
          <w:p w:rsidR="004D4ED4" w:rsidRPr="00A41A00" w:rsidRDefault="004D4ED4" w:rsidP="008D17FE">
            <w:pPr>
              <w:rPr>
                <w:rFonts w:ascii="Century" w:hAnsi="Century"/>
                <w:color w:val="404040"/>
                <w:lang w:val="tr-TR"/>
              </w:rPr>
            </w:pPr>
          </w:p>
          <w:p w:rsidR="004D4ED4" w:rsidRPr="00367FA3" w:rsidRDefault="004D4ED4" w:rsidP="00DC35B8">
            <w:pPr>
              <w:jc w:val="both"/>
              <w:rPr>
                <w:rFonts w:ascii="Century" w:hAnsi="Century"/>
                <w:highlight w:val="yellow"/>
                <w:lang w:val="tr-TR"/>
              </w:rPr>
            </w:pPr>
            <w:r w:rsidRPr="00A41A00">
              <w:rPr>
                <w:rFonts w:ascii="Century" w:hAnsi="Century"/>
                <w:color w:val="404040"/>
                <w:lang w:val="tr-TR"/>
              </w:rPr>
              <w:t xml:space="preserve">In year 2007, insurance companies generally </w:t>
            </w:r>
            <w:r w:rsidR="00DC35B8" w:rsidRPr="00A41A00">
              <w:rPr>
                <w:rFonts w:ascii="Century" w:hAnsi="Century"/>
                <w:color w:val="404040"/>
                <w:lang w:val="tr-TR"/>
              </w:rPr>
              <w:t>made technical profits higher than the previous year.</w:t>
            </w:r>
          </w:p>
        </w:tc>
      </w:tr>
      <w:tr w:rsidR="00D86152" w:rsidRPr="00367FA3">
        <w:tc>
          <w:tcPr>
            <w:tcW w:w="9855" w:type="dxa"/>
            <w:gridSpan w:val="5"/>
          </w:tcPr>
          <w:p w:rsidR="0001780E" w:rsidRPr="00853AAC" w:rsidRDefault="0001780E" w:rsidP="00D96FCE">
            <w:pPr>
              <w:pStyle w:val="ResimYazs"/>
              <w:jc w:val="center"/>
              <w:rPr>
                <w:rFonts w:ascii="Century" w:hAnsi="Century"/>
                <w:b w:val="0"/>
                <w:lang w:val="tr-TR"/>
              </w:rPr>
            </w:pPr>
            <w:bookmarkStart w:id="78" w:name="_Toc170665547"/>
            <w:r w:rsidRPr="00853AAC">
              <w:rPr>
                <w:rFonts w:ascii="Century" w:hAnsi="Century"/>
                <w:lang w:val="tr-TR"/>
              </w:rPr>
              <w:lastRenderedPageBreak/>
              <w:t xml:space="preserve">Tablo </w:t>
            </w:r>
            <w:r w:rsidRPr="00853AAC">
              <w:rPr>
                <w:rFonts w:ascii="Century" w:hAnsi="Century"/>
                <w:lang w:val="tr-TR"/>
              </w:rPr>
              <w:fldChar w:fldCharType="begin"/>
            </w:r>
            <w:r w:rsidRPr="00853AAC">
              <w:rPr>
                <w:rFonts w:ascii="Century" w:hAnsi="Century"/>
                <w:lang w:val="tr-TR"/>
              </w:rPr>
              <w:instrText xml:space="preserve"> STYLEREF 2 \s </w:instrText>
            </w:r>
            <w:r w:rsidRPr="00853AAC">
              <w:rPr>
                <w:rFonts w:ascii="Century" w:hAnsi="Century"/>
                <w:lang w:val="tr-TR"/>
              </w:rPr>
              <w:fldChar w:fldCharType="separate"/>
            </w:r>
            <w:r w:rsidR="00DA718E">
              <w:rPr>
                <w:rFonts w:ascii="Century" w:hAnsi="Century"/>
                <w:noProof/>
                <w:lang w:val="tr-TR"/>
              </w:rPr>
              <w:t>1.4</w:t>
            </w:r>
            <w:r w:rsidRPr="00853AAC">
              <w:rPr>
                <w:rFonts w:ascii="Century" w:hAnsi="Century"/>
                <w:lang w:val="tr-TR"/>
              </w:rPr>
              <w:fldChar w:fldCharType="end"/>
            </w:r>
            <w:r w:rsidRPr="00853AAC">
              <w:rPr>
                <w:rFonts w:ascii="Century" w:hAnsi="Century"/>
                <w:lang w:val="tr-TR"/>
              </w:rPr>
              <w:noBreakHyphen/>
            </w:r>
            <w:r w:rsidRPr="00853AAC">
              <w:rPr>
                <w:rFonts w:ascii="Century" w:hAnsi="Century"/>
                <w:lang w:val="tr-TR"/>
              </w:rPr>
              <w:fldChar w:fldCharType="begin"/>
            </w:r>
            <w:r w:rsidRPr="00853AAC">
              <w:rPr>
                <w:rFonts w:ascii="Century" w:hAnsi="Century"/>
                <w:lang w:val="tr-TR"/>
              </w:rPr>
              <w:instrText xml:space="preserve"> SEQ Tablo \* ARABIC \s 2 </w:instrText>
            </w:r>
            <w:r w:rsidRPr="00853AAC">
              <w:rPr>
                <w:rFonts w:ascii="Century" w:hAnsi="Century"/>
                <w:lang w:val="tr-TR"/>
              </w:rPr>
              <w:fldChar w:fldCharType="separate"/>
            </w:r>
            <w:r w:rsidR="00DA718E">
              <w:rPr>
                <w:rFonts w:ascii="Century" w:hAnsi="Century"/>
                <w:noProof/>
                <w:lang w:val="tr-TR"/>
              </w:rPr>
              <w:t>12</w:t>
            </w:r>
            <w:r w:rsidRPr="00853AAC">
              <w:rPr>
                <w:rFonts w:ascii="Century" w:hAnsi="Century"/>
                <w:lang w:val="tr-TR"/>
              </w:rPr>
              <w:fldChar w:fldCharType="end"/>
            </w:r>
            <w:r w:rsidRPr="00853AAC">
              <w:rPr>
                <w:rFonts w:ascii="Century" w:hAnsi="Century"/>
                <w:lang w:val="tr-TR"/>
              </w:rPr>
              <w:t xml:space="preserve">; </w:t>
            </w:r>
            <w:r w:rsidRPr="00853AAC">
              <w:rPr>
                <w:rFonts w:ascii="Century" w:hAnsi="Century"/>
                <w:bCs w:val="0"/>
                <w:lang w:val="tr-TR"/>
              </w:rPr>
              <w:t xml:space="preserve">Gelir - Gider Hesapları – </w:t>
            </w:r>
            <w:r w:rsidRPr="00853AAC">
              <w:rPr>
                <w:rFonts w:ascii="Century" w:hAnsi="Century"/>
                <w:b w:val="0"/>
                <w:i/>
                <w:iCs/>
                <w:lang w:val="tr-TR"/>
              </w:rPr>
              <w:t>Profit-Loss Accounts</w:t>
            </w:r>
            <w:bookmarkEnd w:id="78"/>
          </w:p>
          <w:p w:rsidR="00D86152" w:rsidRPr="00853AAC" w:rsidRDefault="00572E97" w:rsidP="00D96FCE">
            <w:pPr>
              <w:jc w:val="center"/>
              <w:rPr>
                <w:rFonts w:ascii="Century" w:hAnsi="Century"/>
                <w:highlight w:val="yellow"/>
                <w:lang w:val="tr-TR"/>
              </w:rPr>
            </w:pPr>
            <w:r w:rsidRPr="00853AAC">
              <w:rPr>
                <w:rFonts w:ascii="Century" w:hAnsi="Century"/>
                <w:lang w:val="tr-TR"/>
              </w:rPr>
              <w:pict>
                <v:shape id="_x0000_i1064" type="#_x0000_t75" style="width:429pt;height:366.75pt">
                  <v:imagedata r:id="rId54" o:title=""/>
                </v:shape>
              </w:pict>
            </w:r>
          </w:p>
        </w:tc>
      </w:tr>
      <w:tr w:rsidR="00CD6E9E" w:rsidRPr="00367FA3">
        <w:tc>
          <w:tcPr>
            <w:tcW w:w="4815" w:type="dxa"/>
            <w:gridSpan w:val="2"/>
          </w:tcPr>
          <w:p w:rsidR="003A0D2F" w:rsidRDefault="003A0D2F" w:rsidP="008D17FE">
            <w:pPr>
              <w:jc w:val="both"/>
              <w:rPr>
                <w:rFonts w:ascii="Century" w:hAnsi="Century"/>
                <w:highlight w:val="yellow"/>
                <w:lang w:val="tr-TR"/>
              </w:rPr>
            </w:pPr>
          </w:p>
          <w:p w:rsidR="0001780E" w:rsidRPr="00E50C63" w:rsidRDefault="0001780E" w:rsidP="00D15063">
            <w:pPr>
              <w:pStyle w:val="Balk4"/>
              <w:keepNext w:val="0"/>
              <w:numPr>
                <w:ilvl w:val="0"/>
                <w:numId w:val="12"/>
              </w:numPr>
              <w:spacing w:before="0" w:after="0"/>
              <w:ind w:left="357" w:firstLine="0"/>
              <w:jc w:val="both"/>
              <w:rPr>
                <w:rFonts w:ascii="Century" w:hAnsi="Century"/>
                <w:sz w:val="24"/>
                <w:szCs w:val="24"/>
                <w:lang w:val="tr-TR"/>
              </w:rPr>
            </w:pPr>
            <w:bookmarkStart w:id="79" w:name="_Toc198287703"/>
            <w:bookmarkStart w:id="80" w:name="_Toc199251250"/>
            <w:r w:rsidRPr="00E50C63">
              <w:rPr>
                <w:rFonts w:ascii="Century" w:hAnsi="Century"/>
                <w:sz w:val="24"/>
                <w:szCs w:val="24"/>
                <w:lang w:val="tr-TR"/>
              </w:rPr>
              <w:t>Prim</w:t>
            </w:r>
            <w:r w:rsidR="00572E97">
              <w:rPr>
                <w:rFonts w:ascii="Century" w:hAnsi="Century"/>
                <w:sz w:val="24"/>
                <w:szCs w:val="24"/>
                <w:lang w:val="tr-TR"/>
              </w:rPr>
              <w:t xml:space="preserve"> </w:t>
            </w:r>
            <w:r w:rsidRPr="00E50C63">
              <w:rPr>
                <w:rFonts w:ascii="Century" w:hAnsi="Century"/>
                <w:sz w:val="24"/>
                <w:szCs w:val="24"/>
                <w:lang w:val="tr-TR"/>
              </w:rPr>
              <w:t>ve Ödenen Tazminatlar</w:t>
            </w:r>
            <w:bookmarkEnd w:id="79"/>
            <w:bookmarkEnd w:id="80"/>
          </w:p>
          <w:p w:rsidR="0001780E" w:rsidRPr="000A4FDE" w:rsidRDefault="0001780E" w:rsidP="008D17FE">
            <w:pPr>
              <w:ind w:left="360"/>
              <w:jc w:val="both"/>
              <w:rPr>
                <w:rFonts w:ascii="Century" w:hAnsi="Century"/>
                <w:sz w:val="16"/>
                <w:szCs w:val="16"/>
                <w:lang w:val="tr-TR"/>
              </w:rPr>
            </w:pPr>
          </w:p>
          <w:p w:rsidR="00D94069" w:rsidRPr="00D94069" w:rsidRDefault="0001780E" w:rsidP="004E5E3F">
            <w:pPr>
              <w:jc w:val="both"/>
              <w:rPr>
                <w:rFonts w:ascii="Century" w:hAnsi="Century"/>
                <w:lang w:val="tr-TR"/>
              </w:rPr>
            </w:pPr>
            <w:r w:rsidRPr="00E50C63">
              <w:rPr>
                <w:rFonts w:ascii="Century" w:hAnsi="Century"/>
                <w:lang w:val="tr-TR"/>
              </w:rPr>
              <w:t xml:space="preserve">Toplam prim üretimi grup </w:t>
            </w:r>
            <w:r w:rsidR="00876308" w:rsidRPr="00E50C63">
              <w:rPr>
                <w:rFonts w:ascii="Century" w:hAnsi="Century"/>
                <w:lang w:val="tr-TR"/>
              </w:rPr>
              <w:t xml:space="preserve"> </w:t>
            </w:r>
            <w:r w:rsidRPr="00E50C63">
              <w:rPr>
                <w:rFonts w:ascii="Century" w:hAnsi="Century"/>
                <w:lang w:val="tr-TR"/>
              </w:rPr>
              <w:t xml:space="preserve">ayrımında incelendiğinde, hayat dışı sigorta şirketlerinin toplam üretim içindeki ağırlığının </w:t>
            </w:r>
            <w:r w:rsidR="00876308" w:rsidRPr="00E50C63">
              <w:rPr>
                <w:rFonts w:ascii="Century" w:hAnsi="Century"/>
                <w:lang w:val="tr-TR"/>
              </w:rPr>
              <w:t xml:space="preserve">yıllar itibariyle </w:t>
            </w:r>
            <w:r w:rsidR="00D61F59">
              <w:rPr>
                <w:rFonts w:ascii="Century" w:hAnsi="Century"/>
                <w:lang w:val="tr-TR"/>
              </w:rPr>
              <w:t>artış eğiliminde olduğu ve 2003</w:t>
            </w:r>
            <w:r w:rsidRPr="00E50C63">
              <w:rPr>
                <w:rFonts w:ascii="Century" w:hAnsi="Century"/>
                <w:lang w:val="tr-TR"/>
              </w:rPr>
              <w:t xml:space="preserve"> yılında %</w:t>
            </w:r>
            <w:r w:rsidR="002547A1" w:rsidRPr="00E50C63">
              <w:rPr>
                <w:rFonts w:ascii="Century" w:hAnsi="Century"/>
                <w:lang w:val="tr-TR"/>
              </w:rPr>
              <w:t xml:space="preserve"> </w:t>
            </w:r>
            <w:r w:rsidR="00D61F59">
              <w:rPr>
                <w:rFonts w:ascii="Century" w:hAnsi="Century"/>
                <w:lang w:val="tr-TR"/>
              </w:rPr>
              <w:t>73 olan payının 2007</w:t>
            </w:r>
            <w:r w:rsidRPr="00E50C63">
              <w:rPr>
                <w:rFonts w:ascii="Century" w:hAnsi="Century"/>
                <w:lang w:val="tr-TR"/>
              </w:rPr>
              <w:t xml:space="preserve"> yılında %</w:t>
            </w:r>
            <w:r w:rsidR="002547A1" w:rsidRPr="00E50C63">
              <w:rPr>
                <w:rFonts w:ascii="Century" w:hAnsi="Century"/>
                <w:lang w:val="tr-TR"/>
              </w:rPr>
              <w:t xml:space="preserve"> </w:t>
            </w:r>
            <w:r w:rsidR="00D61F59">
              <w:rPr>
                <w:rFonts w:ascii="Century" w:hAnsi="Century"/>
                <w:lang w:val="tr-TR"/>
              </w:rPr>
              <w:t>84</w:t>
            </w:r>
            <w:r w:rsidRPr="00E50C63">
              <w:rPr>
                <w:rFonts w:ascii="Century" w:hAnsi="Century"/>
                <w:lang w:val="tr-TR"/>
              </w:rPr>
              <w:t xml:space="preserve">’e yükseldiği görülmektedir. </w:t>
            </w:r>
          </w:p>
        </w:tc>
        <w:tc>
          <w:tcPr>
            <w:tcW w:w="236" w:type="dxa"/>
            <w:gridSpan w:val="2"/>
          </w:tcPr>
          <w:p w:rsidR="00CD6E9E" w:rsidRPr="00367FA3" w:rsidRDefault="00CD6E9E" w:rsidP="008D17FE">
            <w:pPr>
              <w:rPr>
                <w:rFonts w:ascii="Century" w:hAnsi="Century"/>
                <w:highlight w:val="yellow"/>
                <w:lang w:val="tr-TR"/>
              </w:rPr>
            </w:pPr>
          </w:p>
        </w:tc>
        <w:tc>
          <w:tcPr>
            <w:tcW w:w="4804" w:type="dxa"/>
          </w:tcPr>
          <w:p w:rsidR="009621F3" w:rsidRDefault="009621F3" w:rsidP="008D17FE">
            <w:pPr>
              <w:rPr>
                <w:rFonts w:ascii="Century" w:hAnsi="Century"/>
                <w:color w:val="1C1C1C"/>
                <w:highlight w:val="yellow"/>
                <w:lang w:val="tr-TR"/>
              </w:rPr>
            </w:pPr>
          </w:p>
          <w:p w:rsidR="00291B69" w:rsidRPr="00A41A00" w:rsidRDefault="00291B69" w:rsidP="004E5E3F">
            <w:pPr>
              <w:ind w:left="357"/>
              <w:rPr>
                <w:rFonts w:ascii="Century" w:hAnsi="Century"/>
                <w:b/>
                <w:color w:val="404040"/>
              </w:rPr>
            </w:pPr>
            <w:r w:rsidRPr="00A41A00">
              <w:rPr>
                <w:rFonts w:ascii="Century" w:hAnsi="Century"/>
                <w:b/>
                <w:color w:val="404040"/>
              </w:rPr>
              <w:t>B.  Premium Volume and Paid Losses</w:t>
            </w:r>
          </w:p>
          <w:p w:rsidR="00291B69" w:rsidRPr="000A4FDE" w:rsidRDefault="00291B69" w:rsidP="00291B69">
            <w:pPr>
              <w:jc w:val="both"/>
              <w:rPr>
                <w:rFonts w:ascii="Century" w:hAnsi="Century"/>
                <w:b/>
                <w:color w:val="404040"/>
                <w:sz w:val="16"/>
                <w:szCs w:val="16"/>
              </w:rPr>
            </w:pPr>
          </w:p>
          <w:p w:rsidR="009621F3" w:rsidRPr="00D94069" w:rsidRDefault="00291B69" w:rsidP="00D94069">
            <w:pPr>
              <w:jc w:val="both"/>
              <w:rPr>
                <w:rFonts w:ascii="Century" w:hAnsi="Century"/>
                <w:color w:val="1C1C1C"/>
              </w:rPr>
            </w:pPr>
            <w:r w:rsidRPr="00A41A00">
              <w:rPr>
                <w:rFonts w:ascii="Century" w:hAnsi="Century"/>
                <w:color w:val="404040"/>
              </w:rPr>
              <w:t>It is seen that the share of non</w:t>
            </w:r>
            <w:r w:rsidR="00AB220A" w:rsidRPr="00A41A00">
              <w:rPr>
                <w:rFonts w:ascii="Century" w:hAnsi="Century"/>
                <w:color w:val="404040"/>
              </w:rPr>
              <w:t>-</w:t>
            </w:r>
            <w:r w:rsidRPr="00A41A00">
              <w:rPr>
                <w:rFonts w:ascii="Century" w:hAnsi="Century"/>
                <w:color w:val="404040"/>
              </w:rPr>
              <w:t>life insurance companies in total premium volume shows an increasing trend for years and its share increased from 73% in 200</w:t>
            </w:r>
            <w:r w:rsidR="00D61F59" w:rsidRPr="00A41A00">
              <w:rPr>
                <w:rFonts w:ascii="Century" w:hAnsi="Century"/>
                <w:color w:val="404040"/>
              </w:rPr>
              <w:t>3 to 84</w:t>
            </w:r>
            <w:r w:rsidRPr="00A41A00">
              <w:rPr>
                <w:rFonts w:ascii="Century" w:hAnsi="Century"/>
                <w:color w:val="404040"/>
              </w:rPr>
              <w:t>% in 200</w:t>
            </w:r>
            <w:r w:rsidR="00D61F59" w:rsidRPr="00A41A00">
              <w:rPr>
                <w:rFonts w:ascii="Century" w:hAnsi="Century"/>
                <w:color w:val="404040"/>
              </w:rPr>
              <w:t>7</w:t>
            </w:r>
            <w:r w:rsidRPr="00A41A00">
              <w:rPr>
                <w:rFonts w:ascii="Century" w:hAnsi="Century"/>
                <w:color w:val="404040"/>
              </w:rPr>
              <w:t>.</w:t>
            </w:r>
            <w:r w:rsidRPr="00E50C63">
              <w:rPr>
                <w:rFonts w:ascii="Century" w:hAnsi="Century"/>
                <w:color w:val="1C1C1C"/>
              </w:rPr>
              <w:t xml:space="preserve"> </w:t>
            </w:r>
          </w:p>
        </w:tc>
      </w:tr>
      <w:tr w:rsidR="00D86152" w:rsidRPr="00367FA3">
        <w:tc>
          <w:tcPr>
            <w:tcW w:w="9855" w:type="dxa"/>
            <w:gridSpan w:val="5"/>
          </w:tcPr>
          <w:p w:rsidR="00E463FC" w:rsidRPr="000A4FDE" w:rsidRDefault="00E463FC" w:rsidP="00291B69">
            <w:pPr>
              <w:rPr>
                <w:sz w:val="16"/>
                <w:szCs w:val="16"/>
                <w:highlight w:val="yellow"/>
                <w:lang w:val="tr-TR"/>
              </w:rPr>
            </w:pPr>
            <w:bookmarkStart w:id="81" w:name="_Toc170665548"/>
          </w:p>
          <w:p w:rsidR="0001780E" w:rsidRPr="00E50C63" w:rsidRDefault="0001780E" w:rsidP="00D96FCE">
            <w:pPr>
              <w:pStyle w:val="ResimYazs"/>
              <w:jc w:val="center"/>
              <w:rPr>
                <w:rFonts w:ascii="Century" w:hAnsi="Century"/>
                <w:lang w:val="tr-TR"/>
              </w:rPr>
            </w:pPr>
            <w:r w:rsidRPr="00E50C63">
              <w:rPr>
                <w:rFonts w:ascii="Century" w:hAnsi="Century"/>
                <w:lang w:val="tr-TR"/>
              </w:rPr>
              <w:t xml:space="preserve">Tablo </w:t>
            </w:r>
            <w:r w:rsidRPr="00E50C63">
              <w:rPr>
                <w:rFonts w:ascii="Century" w:hAnsi="Century"/>
                <w:lang w:val="tr-TR"/>
              </w:rPr>
              <w:fldChar w:fldCharType="begin"/>
            </w:r>
            <w:r w:rsidRPr="00E50C63">
              <w:rPr>
                <w:rFonts w:ascii="Century" w:hAnsi="Century"/>
                <w:lang w:val="tr-TR"/>
              </w:rPr>
              <w:instrText xml:space="preserve"> STYLEREF 2 \s </w:instrText>
            </w:r>
            <w:r w:rsidRPr="00E50C63">
              <w:rPr>
                <w:rFonts w:ascii="Century" w:hAnsi="Century"/>
                <w:lang w:val="tr-TR"/>
              </w:rPr>
              <w:fldChar w:fldCharType="separate"/>
            </w:r>
            <w:r w:rsidR="00DA718E">
              <w:rPr>
                <w:rFonts w:ascii="Century" w:hAnsi="Century"/>
                <w:noProof/>
                <w:lang w:val="tr-TR"/>
              </w:rPr>
              <w:t>1.4</w:t>
            </w:r>
            <w:r w:rsidRPr="00E50C63">
              <w:rPr>
                <w:rFonts w:ascii="Century" w:hAnsi="Century"/>
                <w:lang w:val="tr-TR"/>
              </w:rPr>
              <w:fldChar w:fldCharType="end"/>
            </w:r>
            <w:r w:rsidRPr="00E50C63">
              <w:rPr>
                <w:rFonts w:ascii="Century" w:hAnsi="Century"/>
                <w:lang w:val="tr-TR"/>
              </w:rPr>
              <w:noBreakHyphen/>
            </w:r>
            <w:r w:rsidRPr="00E50C63">
              <w:rPr>
                <w:rFonts w:ascii="Century" w:hAnsi="Century"/>
                <w:lang w:val="tr-TR"/>
              </w:rPr>
              <w:fldChar w:fldCharType="begin"/>
            </w:r>
            <w:r w:rsidRPr="00E50C63">
              <w:rPr>
                <w:rFonts w:ascii="Century" w:hAnsi="Century"/>
                <w:lang w:val="tr-TR"/>
              </w:rPr>
              <w:instrText xml:space="preserve"> SEQ Tablo \* ARABIC \s 2 </w:instrText>
            </w:r>
            <w:r w:rsidRPr="00E50C63">
              <w:rPr>
                <w:rFonts w:ascii="Century" w:hAnsi="Century"/>
                <w:lang w:val="tr-TR"/>
              </w:rPr>
              <w:fldChar w:fldCharType="separate"/>
            </w:r>
            <w:r w:rsidR="00DA718E">
              <w:rPr>
                <w:rFonts w:ascii="Century" w:hAnsi="Century"/>
                <w:noProof/>
                <w:lang w:val="tr-TR"/>
              </w:rPr>
              <w:t>13</w:t>
            </w:r>
            <w:r w:rsidRPr="00E50C63">
              <w:rPr>
                <w:rFonts w:ascii="Century" w:hAnsi="Century"/>
                <w:lang w:val="tr-TR"/>
              </w:rPr>
              <w:fldChar w:fldCharType="end"/>
            </w:r>
            <w:r w:rsidRPr="00E50C63">
              <w:rPr>
                <w:rFonts w:ascii="Century" w:hAnsi="Century"/>
                <w:lang w:val="tr-TR"/>
              </w:rPr>
              <w:t xml:space="preserve">; </w:t>
            </w:r>
            <w:r w:rsidRPr="00E50C63">
              <w:rPr>
                <w:rFonts w:ascii="Century" w:hAnsi="Century"/>
                <w:bCs w:val="0"/>
                <w:lang w:val="tr-TR"/>
              </w:rPr>
              <w:t xml:space="preserve">Prim Üretiminin Dağılımı – </w:t>
            </w:r>
            <w:r w:rsidRPr="00E50C63">
              <w:rPr>
                <w:rFonts w:ascii="Century" w:hAnsi="Century"/>
                <w:b w:val="0"/>
                <w:bCs w:val="0"/>
                <w:i/>
                <w:lang w:val="tr-TR"/>
              </w:rPr>
              <w:t xml:space="preserve">Distribution </w:t>
            </w:r>
            <w:r w:rsidRPr="00E50C63">
              <w:rPr>
                <w:rFonts w:ascii="Century" w:hAnsi="Century"/>
                <w:b w:val="0"/>
                <w:i/>
                <w:iCs/>
                <w:lang w:val="tr-TR"/>
              </w:rPr>
              <w:t>Premium Volume by Non-Life / Life</w:t>
            </w:r>
            <w:bookmarkEnd w:id="81"/>
          </w:p>
          <w:p w:rsidR="00D86152" w:rsidRPr="00BF00B9" w:rsidRDefault="00BF00B9" w:rsidP="00D96FCE">
            <w:pPr>
              <w:jc w:val="center"/>
              <w:rPr>
                <w:rFonts w:ascii="Century" w:hAnsi="Century"/>
                <w:lang w:val="tr-TR"/>
              </w:rPr>
            </w:pPr>
            <w:r w:rsidRPr="00BF00B9">
              <w:rPr>
                <w:rFonts w:ascii="Century" w:hAnsi="Century"/>
                <w:lang w:val="tr-TR"/>
              </w:rPr>
              <w:pict>
                <v:shape id="_x0000_i1065" type="#_x0000_t75" style="width:345pt;height:102pt">
                  <v:imagedata r:id="rId55" o:title=""/>
                </v:shape>
              </w:pict>
            </w:r>
          </w:p>
          <w:p w:rsidR="00D94069" w:rsidRPr="000A4FDE" w:rsidRDefault="00D94069" w:rsidP="00D94069">
            <w:pPr>
              <w:rPr>
                <w:rFonts w:ascii="Century" w:hAnsi="Century"/>
                <w:sz w:val="16"/>
                <w:szCs w:val="16"/>
                <w:highlight w:val="yellow"/>
                <w:lang w:val="tr-TR"/>
              </w:rPr>
            </w:pPr>
          </w:p>
        </w:tc>
      </w:tr>
      <w:tr w:rsidR="00D86152" w:rsidRPr="00367FA3">
        <w:tc>
          <w:tcPr>
            <w:tcW w:w="4815" w:type="dxa"/>
            <w:gridSpan w:val="2"/>
          </w:tcPr>
          <w:p w:rsidR="0001780E" w:rsidRPr="00253644" w:rsidRDefault="0001780E" w:rsidP="008D17FE">
            <w:pPr>
              <w:jc w:val="both"/>
              <w:rPr>
                <w:rFonts w:ascii="Century" w:hAnsi="Century"/>
                <w:lang w:val="tr-TR"/>
              </w:rPr>
            </w:pPr>
            <w:r w:rsidRPr="00253644">
              <w:rPr>
                <w:rFonts w:ascii="Century" w:hAnsi="Century"/>
                <w:lang w:val="tr-TR"/>
              </w:rPr>
              <w:t xml:space="preserve">Ödenen tazminatlar grup ayrımında </w:t>
            </w:r>
            <w:r w:rsidR="00876308" w:rsidRPr="00253644">
              <w:rPr>
                <w:rFonts w:ascii="Century" w:hAnsi="Century"/>
                <w:lang w:val="tr-TR"/>
              </w:rPr>
              <w:t>ele alındığında</w:t>
            </w:r>
            <w:r w:rsidRPr="00253644">
              <w:rPr>
                <w:rFonts w:ascii="Century" w:hAnsi="Century"/>
                <w:lang w:val="tr-TR"/>
              </w:rPr>
              <w:t xml:space="preserve">, hayat dışı sigorta şirketlerinin payının daha fazla ve yıllar </w:t>
            </w:r>
            <w:r w:rsidRPr="00253644">
              <w:rPr>
                <w:rFonts w:ascii="Century" w:hAnsi="Century"/>
                <w:lang w:val="tr-TR"/>
              </w:rPr>
              <w:lastRenderedPageBreak/>
              <w:t>itibariyle artış eğiliminde olduğu</w:t>
            </w:r>
            <w:r w:rsidR="00253644">
              <w:rPr>
                <w:rFonts w:ascii="Century" w:hAnsi="Century"/>
                <w:lang w:val="tr-TR"/>
              </w:rPr>
              <w:t xml:space="preserve"> görülmektedir</w:t>
            </w:r>
            <w:r w:rsidR="0000592D">
              <w:rPr>
                <w:rFonts w:ascii="Century" w:hAnsi="Century"/>
                <w:lang w:val="tr-TR"/>
              </w:rPr>
              <w:t>.</w:t>
            </w:r>
            <w:r w:rsidR="00253644">
              <w:rPr>
                <w:rFonts w:ascii="Century" w:hAnsi="Century"/>
                <w:lang w:val="tr-TR"/>
              </w:rPr>
              <w:t xml:space="preserve"> </w:t>
            </w:r>
            <w:r w:rsidR="006E6119">
              <w:rPr>
                <w:rFonts w:ascii="Century" w:hAnsi="Century"/>
                <w:lang w:val="tr-TR"/>
              </w:rPr>
              <w:t xml:space="preserve">Özellikle </w:t>
            </w:r>
            <w:r w:rsidR="00253644" w:rsidRPr="00253644">
              <w:rPr>
                <w:rFonts w:ascii="Century" w:hAnsi="Century"/>
                <w:lang w:val="tr-TR"/>
              </w:rPr>
              <w:t>2007 yılında hayat/emeklilik şirketlerinde ödenen tazminat tutarında % 24 oranında azalış yaşanması sonucu</w:t>
            </w:r>
            <w:r w:rsidR="006E6119">
              <w:rPr>
                <w:rFonts w:ascii="Century" w:hAnsi="Century"/>
                <w:lang w:val="tr-TR"/>
              </w:rPr>
              <w:t>,</w:t>
            </w:r>
            <w:r w:rsidR="00253644" w:rsidRPr="00253644">
              <w:rPr>
                <w:rFonts w:ascii="Century" w:hAnsi="Century"/>
                <w:lang w:val="tr-TR"/>
              </w:rPr>
              <w:t xml:space="preserve"> ödenen tazminatlar içinde hayat dışı sigorta şirketlerinin ağırlığı</w:t>
            </w:r>
            <w:r w:rsidR="006E6119">
              <w:rPr>
                <w:rFonts w:ascii="Century" w:hAnsi="Century"/>
                <w:lang w:val="tr-TR"/>
              </w:rPr>
              <w:t xml:space="preserve"> % 80’e yükselmiştir.</w:t>
            </w:r>
            <w:r w:rsidRPr="00253644">
              <w:rPr>
                <w:rFonts w:ascii="Century" w:hAnsi="Century"/>
                <w:lang w:val="tr-TR"/>
              </w:rPr>
              <w:t xml:space="preserve"> </w:t>
            </w:r>
          </w:p>
          <w:p w:rsidR="00E9638A" w:rsidRPr="00367FA3" w:rsidRDefault="00E9638A"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FB7E76" w:rsidRPr="00A41A00" w:rsidRDefault="00FB7E76" w:rsidP="00FB7E76">
            <w:pPr>
              <w:jc w:val="both"/>
              <w:rPr>
                <w:rFonts w:ascii="Century" w:hAnsi="Century"/>
                <w:color w:val="404040"/>
              </w:rPr>
            </w:pPr>
            <w:r w:rsidRPr="00A41A00">
              <w:rPr>
                <w:rFonts w:ascii="Century" w:hAnsi="Century"/>
                <w:color w:val="404040"/>
              </w:rPr>
              <w:t xml:space="preserve">It is seen that the </w:t>
            </w:r>
            <w:r w:rsidR="006A43D3" w:rsidRPr="00A41A00">
              <w:rPr>
                <w:rFonts w:ascii="Century" w:hAnsi="Century"/>
                <w:color w:val="404040"/>
              </w:rPr>
              <w:t xml:space="preserve">non-life </w:t>
            </w:r>
            <w:r w:rsidR="0019339C" w:rsidRPr="00A41A00">
              <w:rPr>
                <w:rFonts w:ascii="Century" w:hAnsi="Century"/>
                <w:color w:val="404040"/>
              </w:rPr>
              <w:t>insurance companies have larger sha</w:t>
            </w:r>
            <w:r w:rsidRPr="00A41A00">
              <w:rPr>
                <w:rFonts w:ascii="Century" w:hAnsi="Century"/>
                <w:color w:val="404040"/>
              </w:rPr>
              <w:t xml:space="preserve">re of paid losses </w:t>
            </w:r>
            <w:r w:rsidR="006A43D3" w:rsidRPr="00A41A00">
              <w:rPr>
                <w:rFonts w:ascii="Century" w:hAnsi="Century"/>
                <w:color w:val="404040"/>
              </w:rPr>
              <w:t>and this share shows an</w:t>
            </w:r>
            <w:r w:rsidRPr="00A41A00">
              <w:rPr>
                <w:rFonts w:ascii="Century" w:hAnsi="Century"/>
                <w:color w:val="404040"/>
              </w:rPr>
              <w:t xml:space="preserve"> </w:t>
            </w:r>
            <w:r w:rsidRPr="00A41A00">
              <w:rPr>
                <w:rFonts w:ascii="Century" w:hAnsi="Century"/>
                <w:color w:val="404040"/>
              </w:rPr>
              <w:lastRenderedPageBreak/>
              <w:t>increas</w:t>
            </w:r>
            <w:r w:rsidR="006A43D3" w:rsidRPr="00A41A00">
              <w:rPr>
                <w:rFonts w:ascii="Century" w:hAnsi="Century"/>
                <w:color w:val="404040"/>
              </w:rPr>
              <w:t>ing trend in</w:t>
            </w:r>
            <w:r w:rsidRPr="00A41A00">
              <w:rPr>
                <w:rFonts w:ascii="Century" w:hAnsi="Century"/>
                <w:color w:val="404040"/>
              </w:rPr>
              <w:t xml:space="preserve"> years. </w:t>
            </w:r>
            <w:r w:rsidR="00702D8F" w:rsidRPr="00A41A00">
              <w:rPr>
                <w:rFonts w:ascii="Century" w:hAnsi="Century"/>
                <w:color w:val="404040"/>
              </w:rPr>
              <w:t xml:space="preserve">Paid losses by </w:t>
            </w:r>
            <w:r w:rsidRPr="00A41A00">
              <w:rPr>
                <w:rFonts w:ascii="Century" w:hAnsi="Century"/>
                <w:color w:val="404040"/>
              </w:rPr>
              <w:t xml:space="preserve">life/pension companies </w:t>
            </w:r>
            <w:r w:rsidR="00702D8F" w:rsidRPr="00A41A00">
              <w:rPr>
                <w:rFonts w:ascii="Century" w:hAnsi="Century"/>
                <w:color w:val="404040"/>
              </w:rPr>
              <w:t>decreased by 24%, thus portion of non-life companies in paid losses of the market increased to 80%.</w:t>
            </w:r>
          </w:p>
          <w:p w:rsidR="00702D8F" w:rsidRPr="00A41A00" w:rsidRDefault="00702D8F" w:rsidP="00FB7E76">
            <w:pPr>
              <w:jc w:val="both"/>
              <w:rPr>
                <w:rFonts w:ascii="Century" w:hAnsi="Century"/>
                <w:color w:val="404040"/>
                <w:highlight w:val="yellow"/>
              </w:rPr>
            </w:pPr>
          </w:p>
          <w:p w:rsidR="00291B69" w:rsidRPr="00367FA3" w:rsidRDefault="00291B69" w:rsidP="008D17FE">
            <w:pPr>
              <w:rPr>
                <w:rFonts w:ascii="Century" w:hAnsi="Century"/>
                <w:highlight w:val="yellow"/>
                <w:lang w:val="tr-TR"/>
              </w:rPr>
            </w:pPr>
          </w:p>
        </w:tc>
      </w:tr>
      <w:tr w:rsidR="00D86152" w:rsidRPr="00367FA3">
        <w:tc>
          <w:tcPr>
            <w:tcW w:w="9855" w:type="dxa"/>
            <w:gridSpan w:val="5"/>
          </w:tcPr>
          <w:p w:rsidR="0001780E" w:rsidRPr="00253644" w:rsidRDefault="0001780E" w:rsidP="00D96FCE">
            <w:pPr>
              <w:pStyle w:val="ResimYazs"/>
              <w:jc w:val="center"/>
              <w:rPr>
                <w:rFonts w:ascii="Century" w:hAnsi="Century"/>
                <w:lang w:val="tr-TR"/>
              </w:rPr>
            </w:pPr>
            <w:bookmarkStart w:id="82" w:name="_Toc170665549"/>
            <w:r w:rsidRPr="00253644">
              <w:rPr>
                <w:rFonts w:ascii="Century" w:hAnsi="Century"/>
                <w:lang w:val="tr-TR"/>
              </w:rPr>
              <w:lastRenderedPageBreak/>
              <w:t xml:space="preserve">Tablo </w:t>
            </w:r>
            <w:r w:rsidRPr="00253644">
              <w:rPr>
                <w:rFonts w:ascii="Century" w:hAnsi="Century"/>
                <w:lang w:val="tr-TR"/>
              </w:rPr>
              <w:fldChar w:fldCharType="begin"/>
            </w:r>
            <w:r w:rsidRPr="00253644">
              <w:rPr>
                <w:rFonts w:ascii="Century" w:hAnsi="Century"/>
                <w:lang w:val="tr-TR"/>
              </w:rPr>
              <w:instrText xml:space="preserve"> STYLEREF 2 \s </w:instrText>
            </w:r>
            <w:r w:rsidRPr="00253644">
              <w:rPr>
                <w:rFonts w:ascii="Century" w:hAnsi="Century"/>
                <w:lang w:val="tr-TR"/>
              </w:rPr>
              <w:fldChar w:fldCharType="separate"/>
            </w:r>
            <w:r w:rsidR="00DA718E">
              <w:rPr>
                <w:rFonts w:ascii="Century" w:hAnsi="Century"/>
                <w:noProof/>
                <w:lang w:val="tr-TR"/>
              </w:rPr>
              <w:t>1.4</w:t>
            </w:r>
            <w:r w:rsidRPr="00253644">
              <w:rPr>
                <w:rFonts w:ascii="Century" w:hAnsi="Century"/>
                <w:lang w:val="tr-TR"/>
              </w:rPr>
              <w:fldChar w:fldCharType="end"/>
            </w:r>
            <w:r w:rsidRPr="00253644">
              <w:rPr>
                <w:rFonts w:ascii="Century" w:hAnsi="Century"/>
                <w:lang w:val="tr-TR"/>
              </w:rPr>
              <w:noBreakHyphen/>
            </w:r>
            <w:r w:rsidRPr="00253644">
              <w:rPr>
                <w:rFonts w:ascii="Century" w:hAnsi="Century"/>
                <w:lang w:val="tr-TR"/>
              </w:rPr>
              <w:fldChar w:fldCharType="begin"/>
            </w:r>
            <w:r w:rsidRPr="00253644">
              <w:rPr>
                <w:rFonts w:ascii="Century" w:hAnsi="Century"/>
                <w:lang w:val="tr-TR"/>
              </w:rPr>
              <w:instrText xml:space="preserve"> SEQ Tablo \* ARABIC \s 2 </w:instrText>
            </w:r>
            <w:r w:rsidRPr="00253644">
              <w:rPr>
                <w:rFonts w:ascii="Century" w:hAnsi="Century"/>
                <w:lang w:val="tr-TR"/>
              </w:rPr>
              <w:fldChar w:fldCharType="separate"/>
            </w:r>
            <w:r w:rsidR="00DA718E">
              <w:rPr>
                <w:rFonts w:ascii="Century" w:hAnsi="Century"/>
                <w:noProof/>
                <w:lang w:val="tr-TR"/>
              </w:rPr>
              <w:t>14</w:t>
            </w:r>
            <w:r w:rsidRPr="00253644">
              <w:rPr>
                <w:rFonts w:ascii="Century" w:hAnsi="Century"/>
                <w:lang w:val="tr-TR"/>
              </w:rPr>
              <w:fldChar w:fldCharType="end"/>
            </w:r>
            <w:r w:rsidRPr="00253644">
              <w:rPr>
                <w:rFonts w:ascii="Century" w:hAnsi="Century"/>
                <w:lang w:val="tr-TR"/>
              </w:rPr>
              <w:t xml:space="preserve">; </w:t>
            </w:r>
            <w:r w:rsidRPr="00253644">
              <w:rPr>
                <w:rFonts w:ascii="Century" w:hAnsi="Century"/>
                <w:bCs w:val="0"/>
                <w:lang w:val="tr-TR"/>
              </w:rPr>
              <w:t xml:space="preserve">Ödenen Tazminatın Dağılımı – </w:t>
            </w:r>
            <w:r w:rsidRPr="00253644">
              <w:rPr>
                <w:rFonts w:ascii="Century" w:hAnsi="Century"/>
                <w:b w:val="0"/>
                <w:bCs w:val="0"/>
                <w:i/>
                <w:lang w:val="tr-TR"/>
              </w:rPr>
              <w:t xml:space="preserve">Distribution of </w:t>
            </w:r>
            <w:r w:rsidRPr="00253644">
              <w:rPr>
                <w:rFonts w:ascii="Century" w:hAnsi="Century"/>
                <w:b w:val="0"/>
                <w:i/>
                <w:iCs/>
                <w:lang w:val="tr-TR"/>
              </w:rPr>
              <w:t>Paid Losses by Non-Life / Life</w:t>
            </w:r>
            <w:bookmarkEnd w:id="82"/>
          </w:p>
          <w:p w:rsidR="00876308" w:rsidRPr="00BF00B9" w:rsidRDefault="00BF00B9" w:rsidP="00D96FCE">
            <w:pPr>
              <w:jc w:val="center"/>
              <w:rPr>
                <w:rFonts w:ascii="Century" w:hAnsi="Century"/>
                <w:highlight w:val="yellow"/>
                <w:lang w:val="tr-TR"/>
              </w:rPr>
            </w:pPr>
            <w:r w:rsidRPr="00BF00B9">
              <w:rPr>
                <w:rFonts w:ascii="Century" w:hAnsi="Century"/>
                <w:lang w:val="tr-TR"/>
              </w:rPr>
              <w:pict>
                <v:shape id="_x0000_i1066" type="#_x0000_t75" style="width:345pt;height:102pt">
                  <v:imagedata r:id="rId56" o:title=""/>
                </v:shape>
              </w:pict>
            </w:r>
          </w:p>
          <w:p w:rsidR="00876308" w:rsidRPr="000A4FDE" w:rsidRDefault="00876308" w:rsidP="008D17FE">
            <w:pPr>
              <w:rPr>
                <w:rFonts w:ascii="Century" w:hAnsi="Century"/>
                <w:sz w:val="16"/>
                <w:szCs w:val="16"/>
                <w:highlight w:val="yellow"/>
                <w:lang w:val="tr-TR"/>
              </w:rPr>
            </w:pPr>
          </w:p>
        </w:tc>
      </w:tr>
      <w:tr w:rsidR="00D86152" w:rsidRPr="00367FA3">
        <w:tc>
          <w:tcPr>
            <w:tcW w:w="4815" w:type="dxa"/>
            <w:gridSpan w:val="2"/>
          </w:tcPr>
          <w:p w:rsidR="00253644" w:rsidRPr="00253644" w:rsidRDefault="00253644" w:rsidP="00253644">
            <w:pPr>
              <w:jc w:val="both"/>
              <w:rPr>
                <w:rFonts w:ascii="Century" w:hAnsi="Century"/>
                <w:lang w:val="tr-TR"/>
              </w:rPr>
            </w:pPr>
            <w:r w:rsidRPr="00253644">
              <w:rPr>
                <w:rFonts w:ascii="Century" w:hAnsi="Century"/>
                <w:lang w:val="tr-TR"/>
              </w:rPr>
              <w:t xml:space="preserve">Yukarıdaki tablolarda prim üretimleri ve ödenen tazminatlar grup şirket ayrımında verilmiş olup, hayat/emeklilik şirketlerinin hayat dışı branşlara ilişkin ferdi kaza ve sağlık üretimleri bu tutara dahil edilmiştir. </w:t>
            </w:r>
          </w:p>
          <w:p w:rsidR="00253644" w:rsidRPr="0068596E" w:rsidRDefault="00253644" w:rsidP="00253644">
            <w:pPr>
              <w:pStyle w:val="Balk4"/>
              <w:keepNext w:val="0"/>
              <w:numPr>
                <w:ilvl w:val="0"/>
                <w:numId w:val="0"/>
              </w:numPr>
              <w:spacing w:before="0" w:after="0"/>
              <w:ind w:left="357"/>
              <w:rPr>
                <w:rFonts w:ascii="Century" w:hAnsi="Century"/>
                <w:sz w:val="20"/>
                <w:szCs w:val="20"/>
                <w:highlight w:val="yellow"/>
                <w:lang w:val="tr-TR"/>
              </w:rPr>
            </w:pPr>
          </w:p>
          <w:p w:rsidR="0001780E" w:rsidRPr="006E6119" w:rsidRDefault="0001780E" w:rsidP="00D15063">
            <w:pPr>
              <w:pStyle w:val="Balk4"/>
              <w:keepNext w:val="0"/>
              <w:numPr>
                <w:ilvl w:val="0"/>
                <w:numId w:val="12"/>
              </w:numPr>
              <w:spacing w:before="0" w:after="0"/>
              <w:ind w:left="357" w:firstLine="0"/>
              <w:rPr>
                <w:rFonts w:ascii="Century" w:hAnsi="Century"/>
                <w:sz w:val="24"/>
                <w:szCs w:val="24"/>
                <w:lang w:val="tr-TR"/>
              </w:rPr>
            </w:pPr>
            <w:bookmarkStart w:id="83" w:name="_Toc198287704"/>
            <w:bookmarkStart w:id="84" w:name="_Toc199251251"/>
            <w:r w:rsidRPr="006E6119">
              <w:rPr>
                <w:rFonts w:ascii="Century" w:hAnsi="Century"/>
                <w:sz w:val="24"/>
                <w:szCs w:val="24"/>
                <w:lang w:val="tr-TR"/>
              </w:rPr>
              <w:t>Üretim Kanalları</w:t>
            </w:r>
            <w:bookmarkEnd w:id="83"/>
            <w:bookmarkEnd w:id="84"/>
          </w:p>
          <w:p w:rsidR="00182B04" w:rsidRPr="0068596E" w:rsidRDefault="00182B04" w:rsidP="008D17FE">
            <w:pPr>
              <w:jc w:val="both"/>
              <w:rPr>
                <w:rFonts w:ascii="Century" w:hAnsi="Century"/>
                <w:sz w:val="20"/>
                <w:szCs w:val="20"/>
                <w:lang w:val="tr-TR"/>
              </w:rPr>
            </w:pPr>
          </w:p>
          <w:p w:rsidR="00D86152" w:rsidRPr="006E6119" w:rsidRDefault="00876308" w:rsidP="00E463FC">
            <w:pPr>
              <w:pStyle w:val="GvdeMetniGirintisi2"/>
              <w:tabs>
                <w:tab w:val="left" w:pos="1440"/>
              </w:tabs>
              <w:spacing w:after="0" w:line="240" w:lineRule="auto"/>
              <w:ind w:left="0"/>
              <w:jc w:val="both"/>
              <w:rPr>
                <w:rFonts w:ascii="Century" w:hAnsi="Century"/>
              </w:rPr>
            </w:pPr>
            <w:r w:rsidRPr="006E6119">
              <w:rPr>
                <w:rFonts w:ascii="Century" w:hAnsi="Century"/>
              </w:rPr>
              <w:t>Yıllar i</w:t>
            </w:r>
            <w:r w:rsidR="00F75B43">
              <w:rPr>
                <w:rFonts w:ascii="Century" w:hAnsi="Century"/>
              </w:rPr>
              <w:t>tibariyle değişmekle birlikte  ü</w:t>
            </w:r>
            <w:r w:rsidRPr="006E6119">
              <w:rPr>
                <w:rFonts w:ascii="Century" w:hAnsi="Century"/>
              </w:rPr>
              <w:t>lkemizde prim üretiminin</w:t>
            </w:r>
            <w:r w:rsidR="0001780E" w:rsidRPr="006E6119">
              <w:rPr>
                <w:rFonts w:ascii="Century" w:hAnsi="Century"/>
              </w:rPr>
              <w:t xml:space="preserve"> </w:t>
            </w:r>
            <w:r w:rsidR="000447FE" w:rsidRPr="006E6119">
              <w:rPr>
                <w:rFonts w:ascii="Century" w:hAnsi="Century"/>
              </w:rPr>
              <w:t>ortalama %</w:t>
            </w:r>
            <w:r w:rsidR="002547A1" w:rsidRPr="006E6119">
              <w:rPr>
                <w:rFonts w:ascii="Century" w:hAnsi="Century"/>
              </w:rPr>
              <w:t xml:space="preserve"> </w:t>
            </w:r>
            <w:r w:rsidR="000447FE" w:rsidRPr="006E6119">
              <w:rPr>
                <w:rFonts w:ascii="Century" w:hAnsi="Century"/>
              </w:rPr>
              <w:t xml:space="preserve">70’i </w:t>
            </w:r>
            <w:r w:rsidR="0001780E" w:rsidRPr="006E6119">
              <w:rPr>
                <w:rFonts w:ascii="Century" w:hAnsi="Century"/>
              </w:rPr>
              <w:t>acenteler vasıtasıyla gerçekleştirilmektedir</w:t>
            </w:r>
            <w:r w:rsidR="0001780E" w:rsidRPr="00D93023">
              <w:rPr>
                <w:rFonts w:ascii="Century" w:hAnsi="Century"/>
              </w:rPr>
              <w:t xml:space="preserve">. </w:t>
            </w:r>
            <w:r w:rsidR="006E6119" w:rsidRPr="00D93023">
              <w:rPr>
                <w:rFonts w:ascii="Century" w:hAnsi="Century"/>
              </w:rPr>
              <w:t xml:space="preserve">Son </w:t>
            </w:r>
            <w:r w:rsidR="00F75B43">
              <w:rPr>
                <w:rFonts w:ascii="Century" w:hAnsi="Century"/>
              </w:rPr>
              <w:t>üç</w:t>
            </w:r>
            <w:r w:rsidR="006E6119" w:rsidRPr="00D93023">
              <w:rPr>
                <w:rFonts w:ascii="Century" w:hAnsi="Century"/>
              </w:rPr>
              <w:t xml:space="preserve"> yıllık süreçte </w:t>
            </w:r>
            <w:r w:rsidR="007556C6" w:rsidRPr="00D93023">
              <w:rPr>
                <w:rFonts w:ascii="Century" w:hAnsi="Century"/>
              </w:rPr>
              <w:t xml:space="preserve">oran bazında, </w:t>
            </w:r>
            <w:r w:rsidR="006E6119" w:rsidRPr="00D93023">
              <w:rPr>
                <w:rFonts w:ascii="Century" w:hAnsi="Century"/>
              </w:rPr>
              <w:t xml:space="preserve">merkezden yapılan üretimde azalış, brokerler vasıtasıyla yapılan üretimde ise artış gözlenmek-tedir. </w:t>
            </w:r>
            <w:r w:rsidR="0001780E" w:rsidRPr="00D93023">
              <w:rPr>
                <w:rFonts w:ascii="Century" w:hAnsi="Century"/>
              </w:rPr>
              <w:t>200</w:t>
            </w:r>
            <w:r w:rsidR="006E6119" w:rsidRPr="00D93023">
              <w:rPr>
                <w:rFonts w:ascii="Century" w:hAnsi="Century"/>
              </w:rPr>
              <w:t>7</w:t>
            </w:r>
            <w:r w:rsidR="0001780E" w:rsidRPr="00D93023">
              <w:rPr>
                <w:rFonts w:ascii="Century" w:hAnsi="Century"/>
              </w:rPr>
              <w:t xml:space="preserve"> yıl sonu</w:t>
            </w:r>
            <w:r w:rsidR="0001780E" w:rsidRPr="006E6119">
              <w:rPr>
                <w:rFonts w:ascii="Century" w:hAnsi="Century"/>
              </w:rPr>
              <w:t xml:space="preserve"> itibariyle sigorta ve emeklilik şirketlerinin acenteliğini yapan banka sayısı 3</w:t>
            </w:r>
            <w:r w:rsidR="006E6119" w:rsidRPr="006E6119">
              <w:rPr>
                <w:rFonts w:ascii="Century" w:hAnsi="Century"/>
              </w:rPr>
              <w:t>5</w:t>
            </w:r>
            <w:r w:rsidR="0001780E" w:rsidRPr="006E6119">
              <w:rPr>
                <w:rFonts w:ascii="Century" w:hAnsi="Century"/>
              </w:rPr>
              <w:t>’t</w:t>
            </w:r>
            <w:r w:rsidR="006E6119" w:rsidRPr="006E6119">
              <w:rPr>
                <w:rFonts w:ascii="Century" w:hAnsi="Century"/>
              </w:rPr>
              <w:t>i</w:t>
            </w:r>
            <w:r w:rsidR="0001780E" w:rsidRPr="006E6119">
              <w:rPr>
                <w:rFonts w:ascii="Century" w:hAnsi="Century"/>
              </w:rPr>
              <w:t xml:space="preserve">r. </w:t>
            </w:r>
          </w:p>
          <w:p w:rsidR="00E9638A" w:rsidRPr="000A4FDE" w:rsidRDefault="00E9638A" w:rsidP="008D17FE">
            <w:pPr>
              <w:rPr>
                <w:rFonts w:ascii="Century" w:hAnsi="Century"/>
                <w:sz w:val="16"/>
                <w:szCs w:val="16"/>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253644" w:rsidRPr="00A41A00" w:rsidRDefault="00253644" w:rsidP="00253644">
            <w:pPr>
              <w:jc w:val="both"/>
              <w:rPr>
                <w:rFonts w:ascii="Century" w:hAnsi="Century"/>
                <w:color w:val="404040"/>
              </w:rPr>
            </w:pPr>
            <w:r w:rsidRPr="00A41A00">
              <w:rPr>
                <w:rFonts w:ascii="Century" w:hAnsi="Century"/>
                <w:color w:val="404040"/>
              </w:rPr>
              <w:t xml:space="preserve">The premium volume and paid losses are given per groups of companies as non-life and life/pension companies. Premium volume of non-life branches for life/pension companies is included. </w:t>
            </w:r>
          </w:p>
          <w:p w:rsidR="00253644" w:rsidRPr="00A41A00" w:rsidRDefault="00253644" w:rsidP="002B1753">
            <w:pPr>
              <w:ind w:left="357"/>
              <w:rPr>
                <w:rFonts w:ascii="Century" w:hAnsi="Century"/>
                <w:b/>
                <w:color w:val="404040"/>
                <w:highlight w:val="yellow"/>
              </w:rPr>
            </w:pPr>
          </w:p>
          <w:p w:rsidR="006E6119" w:rsidRPr="00A41A00" w:rsidRDefault="006E6119" w:rsidP="002B1753">
            <w:pPr>
              <w:ind w:left="357"/>
              <w:rPr>
                <w:rFonts w:ascii="Century" w:hAnsi="Century"/>
                <w:b/>
                <w:color w:val="404040"/>
                <w:sz w:val="20"/>
                <w:szCs w:val="20"/>
                <w:highlight w:val="yellow"/>
              </w:rPr>
            </w:pPr>
          </w:p>
          <w:p w:rsidR="00AE5034" w:rsidRPr="00A41A00" w:rsidRDefault="002B1753" w:rsidP="00F43F85">
            <w:pPr>
              <w:rPr>
                <w:rFonts w:ascii="Century" w:hAnsi="Century"/>
                <w:b/>
                <w:color w:val="404040"/>
                <w:sz w:val="22"/>
                <w:szCs w:val="22"/>
              </w:rPr>
            </w:pPr>
            <w:r w:rsidRPr="00A41A00">
              <w:rPr>
                <w:rFonts w:ascii="Century" w:hAnsi="Century"/>
                <w:b/>
                <w:color w:val="404040"/>
              </w:rPr>
              <w:t xml:space="preserve">C.  </w:t>
            </w:r>
            <w:r w:rsidR="00AE5034" w:rsidRPr="00A41A00">
              <w:rPr>
                <w:rFonts w:ascii="Century" w:hAnsi="Century"/>
                <w:b/>
                <w:color w:val="404040"/>
              </w:rPr>
              <w:t>The Channels of Collecting Premium</w:t>
            </w:r>
          </w:p>
          <w:p w:rsidR="002B1753" w:rsidRPr="00A41A00" w:rsidRDefault="002B1753" w:rsidP="002B1753">
            <w:pPr>
              <w:ind w:left="357"/>
              <w:rPr>
                <w:rFonts w:ascii="Century" w:hAnsi="Century"/>
                <w:b/>
                <w:color w:val="404040"/>
                <w:sz w:val="20"/>
                <w:szCs w:val="20"/>
                <w:highlight w:val="yellow"/>
              </w:rPr>
            </w:pPr>
          </w:p>
          <w:p w:rsidR="00AE5034" w:rsidRPr="00A41A00" w:rsidRDefault="00AE5034" w:rsidP="00AE5034">
            <w:pPr>
              <w:jc w:val="both"/>
              <w:rPr>
                <w:rFonts w:ascii="Century" w:hAnsi="Century"/>
                <w:color w:val="404040"/>
                <w:highlight w:val="yellow"/>
              </w:rPr>
            </w:pPr>
            <w:r w:rsidRPr="00A41A00">
              <w:rPr>
                <w:rFonts w:ascii="Century" w:hAnsi="Century"/>
                <w:color w:val="404040"/>
              </w:rPr>
              <w:t xml:space="preserve">In average 70% of premium volume is produced by the insurance agencies for years. It is observed that there is a </w:t>
            </w:r>
            <w:r w:rsidR="007556C6" w:rsidRPr="00A41A00">
              <w:rPr>
                <w:rFonts w:ascii="Century" w:hAnsi="Century"/>
                <w:color w:val="404040"/>
              </w:rPr>
              <w:t>dec</w:t>
            </w:r>
            <w:r w:rsidRPr="00A41A00">
              <w:rPr>
                <w:rFonts w:ascii="Century" w:hAnsi="Century"/>
                <w:color w:val="404040"/>
              </w:rPr>
              <w:t xml:space="preserve">rease in </w:t>
            </w:r>
            <w:r w:rsidR="00D90B56" w:rsidRPr="00A41A00">
              <w:rPr>
                <w:rFonts w:ascii="Century" w:hAnsi="Century"/>
                <w:color w:val="404040"/>
              </w:rPr>
              <w:t xml:space="preserve">direct production and an increase </w:t>
            </w:r>
            <w:r w:rsidR="00D93023" w:rsidRPr="00A41A00">
              <w:rPr>
                <w:rFonts w:ascii="Century" w:hAnsi="Century"/>
                <w:color w:val="404040"/>
              </w:rPr>
              <w:t>in production by brokers</w:t>
            </w:r>
            <w:r w:rsidRPr="00A41A00">
              <w:rPr>
                <w:rFonts w:ascii="Century" w:hAnsi="Century"/>
                <w:color w:val="404040"/>
              </w:rPr>
              <w:t>. At the end of 200</w:t>
            </w:r>
            <w:r w:rsidR="007F3657" w:rsidRPr="00A41A00">
              <w:rPr>
                <w:rFonts w:ascii="Century" w:hAnsi="Century"/>
                <w:color w:val="404040"/>
              </w:rPr>
              <w:t>7</w:t>
            </w:r>
            <w:r w:rsidRPr="00A41A00">
              <w:rPr>
                <w:rFonts w:ascii="Century" w:hAnsi="Century"/>
                <w:color w:val="404040"/>
              </w:rPr>
              <w:t>, the number of banks working as agencies of insurance and pension companies is 3</w:t>
            </w:r>
            <w:r w:rsidR="007F3657" w:rsidRPr="00A41A00">
              <w:rPr>
                <w:rFonts w:ascii="Century" w:hAnsi="Century"/>
                <w:color w:val="404040"/>
              </w:rPr>
              <w:t>5</w:t>
            </w:r>
            <w:r w:rsidRPr="00A41A00">
              <w:rPr>
                <w:rFonts w:ascii="Century" w:hAnsi="Century"/>
                <w:color w:val="404040"/>
              </w:rPr>
              <w:t>.</w:t>
            </w:r>
          </w:p>
          <w:p w:rsidR="00D86152" w:rsidRPr="00367FA3" w:rsidRDefault="00D86152" w:rsidP="008D17FE">
            <w:pPr>
              <w:rPr>
                <w:rFonts w:ascii="Century" w:hAnsi="Century"/>
                <w:highlight w:val="yellow"/>
                <w:lang w:val="tr-TR"/>
              </w:rPr>
            </w:pPr>
          </w:p>
        </w:tc>
      </w:tr>
      <w:tr w:rsidR="00D86152" w:rsidRPr="00367FA3">
        <w:tc>
          <w:tcPr>
            <w:tcW w:w="9855" w:type="dxa"/>
            <w:gridSpan w:val="5"/>
          </w:tcPr>
          <w:p w:rsidR="00084428" w:rsidRPr="00367FA3" w:rsidRDefault="00084428" w:rsidP="00D96FCE">
            <w:pPr>
              <w:pStyle w:val="ResimYazs"/>
              <w:jc w:val="center"/>
              <w:rPr>
                <w:rFonts w:ascii="Century" w:hAnsi="Century"/>
                <w:highlight w:val="yellow"/>
                <w:lang w:val="tr-TR"/>
              </w:rPr>
            </w:pPr>
            <w:bookmarkStart w:id="85" w:name="_Toc170665550"/>
            <w:r w:rsidRPr="006E6119">
              <w:rPr>
                <w:rFonts w:ascii="Century" w:hAnsi="Century"/>
                <w:lang w:val="tr-TR"/>
              </w:rPr>
              <w:t xml:space="preserve">Tablo </w:t>
            </w:r>
            <w:r w:rsidRPr="006E6119">
              <w:rPr>
                <w:rFonts w:ascii="Century" w:hAnsi="Century"/>
                <w:lang w:val="tr-TR"/>
              </w:rPr>
              <w:fldChar w:fldCharType="begin"/>
            </w:r>
            <w:r w:rsidRPr="006E6119">
              <w:rPr>
                <w:rFonts w:ascii="Century" w:hAnsi="Century"/>
                <w:lang w:val="tr-TR"/>
              </w:rPr>
              <w:instrText xml:space="preserve"> STYLEREF 2 \s </w:instrText>
            </w:r>
            <w:r w:rsidRPr="006E6119">
              <w:rPr>
                <w:rFonts w:ascii="Century" w:hAnsi="Century"/>
                <w:lang w:val="tr-TR"/>
              </w:rPr>
              <w:fldChar w:fldCharType="separate"/>
            </w:r>
            <w:r w:rsidR="00DA718E">
              <w:rPr>
                <w:rFonts w:ascii="Century" w:hAnsi="Century"/>
                <w:noProof/>
                <w:lang w:val="tr-TR"/>
              </w:rPr>
              <w:t>1.4</w:t>
            </w:r>
            <w:r w:rsidRPr="006E6119">
              <w:rPr>
                <w:rFonts w:ascii="Century" w:hAnsi="Century"/>
                <w:lang w:val="tr-TR"/>
              </w:rPr>
              <w:fldChar w:fldCharType="end"/>
            </w:r>
            <w:r w:rsidRPr="006E6119">
              <w:rPr>
                <w:rFonts w:ascii="Century" w:hAnsi="Century"/>
                <w:lang w:val="tr-TR"/>
              </w:rPr>
              <w:noBreakHyphen/>
            </w:r>
            <w:r w:rsidRPr="006E6119">
              <w:rPr>
                <w:rFonts w:ascii="Century" w:hAnsi="Century"/>
                <w:lang w:val="tr-TR"/>
              </w:rPr>
              <w:fldChar w:fldCharType="begin"/>
            </w:r>
            <w:r w:rsidRPr="006E6119">
              <w:rPr>
                <w:rFonts w:ascii="Century" w:hAnsi="Century"/>
                <w:lang w:val="tr-TR"/>
              </w:rPr>
              <w:instrText xml:space="preserve"> SEQ Tablo \* ARABIC \s 2 </w:instrText>
            </w:r>
            <w:r w:rsidRPr="006E6119">
              <w:rPr>
                <w:rFonts w:ascii="Century" w:hAnsi="Century"/>
                <w:lang w:val="tr-TR"/>
              </w:rPr>
              <w:fldChar w:fldCharType="separate"/>
            </w:r>
            <w:r w:rsidR="00DA718E">
              <w:rPr>
                <w:rFonts w:ascii="Century" w:hAnsi="Century"/>
                <w:noProof/>
                <w:lang w:val="tr-TR"/>
              </w:rPr>
              <w:t>15</w:t>
            </w:r>
            <w:r w:rsidRPr="006E6119">
              <w:rPr>
                <w:rFonts w:ascii="Century" w:hAnsi="Century"/>
                <w:lang w:val="tr-TR"/>
              </w:rPr>
              <w:fldChar w:fldCharType="end"/>
            </w:r>
            <w:r w:rsidRPr="006E6119">
              <w:rPr>
                <w:rFonts w:ascii="Century" w:hAnsi="Century"/>
                <w:lang w:val="tr-TR"/>
              </w:rPr>
              <w:t xml:space="preserve">; </w:t>
            </w:r>
            <w:r w:rsidRPr="006E6119">
              <w:rPr>
                <w:rFonts w:ascii="Century" w:hAnsi="Century"/>
                <w:bCs w:val="0"/>
                <w:lang w:val="tr-TR"/>
              </w:rPr>
              <w:t xml:space="preserve">Üretim Kaynaklarının Prim Üretimi İçindeki Payları (Hayat Dışı Şirketler) </w:t>
            </w:r>
            <w:r w:rsidR="00D96FCE" w:rsidRPr="006E6119">
              <w:rPr>
                <w:rFonts w:ascii="Century" w:hAnsi="Century"/>
                <w:bCs w:val="0"/>
                <w:lang w:val="tr-TR"/>
              </w:rPr>
              <w:t xml:space="preserve">          </w:t>
            </w:r>
            <w:r w:rsidRPr="006E6119">
              <w:rPr>
                <w:rFonts w:ascii="Century" w:hAnsi="Century"/>
                <w:b w:val="0"/>
                <w:i/>
                <w:iCs/>
                <w:lang w:val="tr-TR"/>
              </w:rPr>
              <w:t>Premium Volume by Distribution Channels (Non-Life Companies) (%)</w:t>
            </w:r>
            <w:bookmarkEnd w:id="85"/>
          </w:p>
          <w:p w:rsidR="00F66888" w:rsidRPr="005621CF" w:rsidRDefault="005621CF" w:rsidP="00F43F85">
            <w:pPr>
              <w:jc w:val="center"/>
              <w:rPr>
                <w:rFonts w:ascii="Century" w:hAnsi="Century"/>
                <w:sz w:val="20"/>
                <w:szCs w:val="20"/>
                <w:highlight w:val="yellow"/>
                <w:lang w:val="tr-TR"/>
              </w:rPr>
            </w:pPr>
            <w:r w:rsidRPr="005621CF">
              <w:rPr>
                <w:rFonts w:ascii="Century" w:hAnsi="Century"/>
                <w:sz w:val="20"/>
                <w:szCs w:val="20"/>
                <w:lang w:val="tr-TR"/>
              </w:rPr>
              <w:pict>
                <v:shape id="_x0000_i1067" type="#_x0000_t75" style="width:285pt;height:76.5pt">
                  <v:imagedata r:id="rId57" o:title=""/>
                </v:shape>
              </w:pict>
            </w:r>
          </w:p>
        </w:tc>
      </w:tr>
      <w:tr w:rsidR="00D86152" w:rsidRPr="00367FA3">
        <w:tc>
          <w:tcPr>
            <w:tcW w:w="4815" w:type="dxa"/>
            <w:gridSpan w:val="2"/>
          </w:tcPr>
          <w:p w:rsidR="000355EE" w:rsidRPr="000A4FDE" w:rsidRDefault="000355EE" w:rsidP="008D17FE">
            <w:pPr>
              <w:jc w:val="both"/>
              <w:rPr>
                <w:rFonts w:ascii="Century" w:hAnsi="Century"/>
                <w:sz w:val="16"/>
                <w:szCs w:val="16"/>
                <w:highlight w:val="yellow"/>
                <w:lang w:val="tr-TR"/>
              </w:rPr>
            </w:pPr>
          </w:p>
          <w:p w:rsidR="00F264F4" w:rsidRPr="0068596E" w:rsidRDefault="00F43F85" w:rsidP="0068596E">
            <w:pPr>
              <w:jc w:val="both"/>
              <w:rPr>
                <w:rFonts w:ascii="Century" w:hAnsi="Century"/>
                <w:lang w:val="tr-TR"/>
              </w:rPr>
            </w:pPr>
            <w:r>
              <w:rPr>
                <w:rFonts w:ascii="Century" w:hAnsi="Century"/>
                <w:lang w:val="tr-TR"/>
              </w:rPr>
              <w:t>2007</w:t>
            </w:r>
            <w:r w:rsidR="00084428" w:rsidRPr="00F43F85">
              <w:rPr>
                <w:rFonts w:ascii="Century" w:hAnsi="Century"/>
                <w:lang w:val="tr-TR"/>
              </w:rPr>
              <w:t xml:space="preserve"> yılı üretiminin üretim kanallarına göre dağılımı aşağıda grafik olarak gösterilmişti</w:t>
            </w:r>
            <w:r w:rsidR="0068596E">
              <w:rPr>
                <w:rFonts w:ascii="Century" w:hAnsi="Century"/>
                <w:lang w:val="tr-TR"/>
              </w:rPr>
              <w:t>r.</w:t>
            </w: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0A4FDE" w:rsidRDefault="00D86152" w:rsidP="008D17FE">
            <w:pPr>
              <w:rPr>
                <w:rFonts w:ascii="Century" w:hAnsi="Century"/>
                <w:sz w:val="16"/>
                <w:szCs w:val="16"/>
                <w:highlight w:val="yellow"/>
                <w:lang w:val="tr-TR"/>
              </w:rPr>
            </w:pPr>
          </w:p>
          <w:p w:rsidR="00AE5034" w:rsidRPr="00A41A00" w:rsidRDefault="00AE5034" w:rsidP="00EE7F22">
            <w:pPr>
              <w:jc w:val="both"/>
              <w:rPr>
                <w:rFonts w:ascii="Century" w:hAnsi="Century"/>
                <w:color w:val="404040"/>
              </w:rPr>
            </w:pPr>
            <w:r w:rsidRPr="00A41A00">
              <w:rPr>
                <w:rFonts w:ascii="Century" w:hAnsi="Century"/>
                <w:color w:val="404040"/>
              </w:rPr>
              <w:t>The distribution of premium volume of 200</w:t>
            </w:r>
            <w:r w:rsidR="00F43F85" w:rsidRPr="00A41A00">
              <w:rPr>
                <w:rFonts w:ascii="Century" w:hAnsi="Century"/>
                <w:color w:val="404040"/>
              </w:rPr>
              <w:t>7</w:t>
            </w:r>
            <w:r w:rsidRPr="00A41A00">
              <w:rPr>
                <w:rFonts w:ascii="Century" w:hAnsi="Century"/>
                <w:color w:val="404040"/>
              </w:rPr>
              <w:t xml:space="preserve"> by channels is showed in the figure below. </w:t>
            </w:r>
          </w:p>
        </w:tc>
      </w:tr>
      <w:tr w:rsidR="00D86152" w:rsidRPr="00367FA3">
        <w:tc>
          <w:tcPr>
            <w:tcW w:w="9855" w:type="dxa"/>
            <w:gridSpan w:val="5"/>
          </w:tcPr>
          <w:p w:rsidR="000A4FDE" w:rsidRDefault="000A4FDE" w:rsidP="00D96FCE">
            <w:pPr>
              <w:pStyle w:val="ResimYazs"/>
              <w:jc w:val="center"/>
              <w:rPr>
                <w:rFonts w:ascii="Century" w:hAnsi="Century"/>
                <w:lang w:val="tr-TR"/>
              </w:rPr>
            </w:pPr>
            <w:bookmarkStart w:id="86" w:name="_Toc170278161"/>
            <w:bookmarkStart w:id="87" w:name="_Toc170665585"/>
          </w:p>
          <w:p w:rsidR="00F75B43" w:rsidRPr="00F75B43" w:rsidRDefault="00F75B43" w:rsidP="00F75B43">
            <w:pPr>
              <w:rPr>
                <w:lang w:val="tr-TR"/>
              </w:rPr>
            </w:pPr>
          </w:p>
          <w:p w:rsidR="00084428" w:rsidRPr="00F264F4" w:rsidRDefault="00084428" w:rsidP="00D96FCE">
            <w:pPr>
              <w:pStyle w:val="ResimYazs"/>
              <w:jc w:val="center"/>
              <w:rPr>
                <w:rFonts w:ascii="Century" w:hAnsi="Century"/>
                <w:b w:val="0"/>
                <w:i/>
                <w:lang w:val="tr-TR"/>
              </w:rPr>
            </w:pPr>
            <w:r w:rsidRPr="00F264F4">
              <w:rPr>
                <w:rFonts w:ascii="Century" w:hAnsi="Century"/>
                <w:lang w:val="tr-TR"/>
              </w:rPr>
              <w:lastRenderedPageBreak/>
              <w:t xml:space="preserve">Grafik </w:t>
            </w:r>
            <w:r w:rsidRPr="00F264F4">
              <w:rPr>
                <w:rFonts w:ascii="Century" w:hAnsi="Century"/>
                <w:lang w:val="tr-TR"/>
              </w:rPr>
              <w:fldChar w:fldCharType="begin"/>
            </w:r>
            <w:r w:rsidRPr="00F264F4">
              <w:rPr>
                <w:rFonts w:ascii="Century" w:hAnsi="Century"/>
                <w:lang w:val="tr-TR"/>
              </w:rPr>
              <w:instrText xml:space="preserve"> STYLEREF 2 \s </w:instrText>
            </w:r>
            <w:r w:rsidRPr="00F264F4">
              <w:rPr>
                <w:rFonts w:ascii="Century" w:hAnsi="Century"/>
                <w:lang w:val="tr-TR"/>
              </w:rPr>
              <w:fldChar w:fldCharType="separate"/>
            </w:r>
            <w:r w:rsidR="00DA718E">
              <w:rPr>
                <w:rFonts w:ascii="Century" w:hAnsi="Century"/>
                <w:noProof/>
                <w:lang w:val="tr-TR"/>
              </w:rPr>
              <w:t>1.4</w:t>
            </w:r>
            <w:r w:rsidRPr="00F264F4">
              <w:rPr>
                <w:rFonts w:ascii="Century" w:hAnsi="Century"/>
                <w:lang w:val="tr-TR"/>
              </w:rPr>
              <w:fldChar w:fldCharType="end"/>
            </w:r>
            <w:r w:rsidRPr="00F264F4">
              <w:rPr>
                <w:rFonts w:ascii="Century" w:hAnsi="Century"/>
                <w:lang w:val="tr-TR"/>
              </w:rPr>
              <w:noBreakHyphen/>
            </w:r>
            <w:r w:rsidRPr="00F264F4">
              <w:rPr>
                <w:rFonts w:ascii="Century" w:hAnsi="Century"/>
                <w:lang w:val="tr-TR"/>
              </w:rPr>
              <w:fldChar w:fldCharType="begin"/>
            </w:r>
            <w:r w:rsidRPr="00F264F4">
              <w:rPr>
                <w:rFonts w:ascii="Century" w:hAnsi="Century"/>
                <w:lang w:val="tr-TR"/>
              </w:rPr>
              <w:instrText xml:space="preserve"> SEQ Grafik \* ARABIC \s 2 </w:instrText>
            </w:r>
            <w:r w:rsidRPr="00F264F4">
              <w:rPr>
                <w:rFonts w:ascii="Century" w:hAnsi="Century"/>
                <w:lang w:val="tr-TR"/>
              </w:rPr>
              <w:fldChar w:fldCharType="separate"/>
            </w:r>
            <w:r w:rsidR="00DA718E">
              <w:rPr>
                <w:rFonts w:ascii="Century" w:hAnsi="Century"/>
                <w:noProof/>
                <w:lang w:val="tr-TR"/>
              </w:rPr>
              <w:t>5</w:t>
            </w:r>
            <w:r w:rsidRPr="00F264F4">
              <w:rPr>
                <w:rFonts w:ascii="Century" w:hAnsi="Century"/>
                <w:lang w:val="tr-TR"/>
              </w:rPr>
              <w:fldChar w:fldCharType="end"/>
            </w:r>
            <w:r w:rsidRPr="00F264F4">
              <w:rPr>
                <w:rFonts w:ascii="Century" w:hAnsi="Century"/>
                <w:lang w:val="tr-TR"/>
              </w:rPr>
              <w:t>; Üretim Kanallarının Üretimdeki Payı</w:t>
            </w:r>
            <w:r w:rsidR="00B86490">
              <w:rPr>
                <w:rFonts w:ascii="Century" w:hAnsi="Century"/>
                <w:lang w:val="tr-TR"/>
              </w:rPr>
              <w:t xml:space="preserve"> (2007) </w:t>
            </w:r>
            <w:r w:rsidRPr="00F264F4">
              <w:rPr>
                <w:rFonts w:ascii="Century" w:hAnsi="Century"/>
                <w:lang w:val="tr-TR"/>
              </w:rPr>
              <w:t xml:space="preserve">– </w:t>
            </w:r>
            <w:r w:rsidRPr="00F264F4">
              <w:rPr>
                <w:rFonts w:ascii="Century" w:hAnsi="Century"/>
                <w:b w:val="0"/>
                <w:i/>
                <w:lang w:val="tr-TR"/>
              </w:rPr>
              <w:t>Premium  by Dist</w:t>
            </w:r>
            <w:r w:rsidR="00E5623C">
              <w:rPr>
                <w:rFonts w:ascii="Century" w:hAnsi="Century"/>
                <w:b w:val="0"/>
                <w:i/>
                <w:lang w:val="tr-TR"/>
              </w:rPr>
              <w:t>ribution C</w:t>
            </w:r>
            <w:r w:rsidRPr="00F264F4">
              <w:rPr>
                <w:rFonts w:ascii="Century" w:hAnsi="Century"/>
                <w:b w:val="0"/>
                <w:i/>
                <w:lang w:val="tr-TR"/>
              </w:rPr>
              <w:t>hannels</w:t>
            </w:r>
            <w:bookmarkEnd w:id="86"/>
            <w:bookmarkEnd w:id="87"/>
          </w:p>
          <w:p w:rsidR="00AE5034" w:rsidRPr="00C5323E" w:rsidRDefault="00C5323E" w:rsidP="00D96FCE">
            <w:pPr>
              <w:jc w:val="center"/>
              <w:rPr>
                <w:rFonts w:ascii="Century" w:hAnsi="Century"/>
                <w:highlight w:val="yellow"/>
                <w:lang w:val="tr-TR"/>
              </w:rPr>
            </w:pPr>
            <w:r w:rsidRPr="00C5323E">
              <w:rPr>
                <w:rFonts w:ascii="Century" w:hAnsi="Century"/>
                <w:lang w:val="tr-TR"/>
              </w:rPr>
              <w:pict>
                <v:shape id="_x0000_i1068" type="#_x0000_t75" style="width:453pt;height:170.25pt">
                  <v:imagedata r:id="rId58" o:title=""/>
                </v:shape>
              </w:pict>
            </w:r>
          </w:p>
        </w:tc>
      </w:tr>
      <w:tr w:rsidR="00D86152" w:rsidRPr="00367FA3">
        <w:tc>
          <w:tcPr>
            <w:tcW w:w="4815" w:type="dxa"/>
            <w:gridSpan w:val="2"/>
          </w:tcPr>
          <w:p w:rsidR="00084428" w:rsidRPr="000E3F3E" w:rsidRDefault="00084428" w:rsidP="00D15063">
            <w:pPr>
              <w:pStyle w:val="Balk4"/>
              <w:keepNext w:val="0"/>
              <w:numPr>
                <w:ilvl w:val="0"/>
                <w:numId w:val="12"/>
              </w:numPr>
              <w:spacing w:before="0" w:after="0"/>
              <w:ind w:left="357" w:firstLine="0"/>
              <w:rPr>
                <w:rFonts w:ascii="Century" w:hAnsi="Century"/>
                <w:sz w:val="24"/>
                <w:szCs w:val="24"/>
                <w:lang w:val="tr-TR"/>
              </w:rPr>
            </w:pPr>
            <w:bookmarkStart w:id="88" w:name="_Toc198287705"/>
            <w:bookmarkStart w:id="89" w:name="_Toc199251252"/>
            <w:r w:rsidRPr="000E3F3E">
              <w:rPr>
                <w:rFonts w:ascii="Century" w:hAnsi="Century"/>
                <w:sz w:val="24"/>
                <w:szCs w:val="24"/>
                <w:lang w:val="tr-TR"/>
              </w:rPr>
              <w:lastRenderedPageBreak/>
              <w:t>Teknik Göstergeler</w:t>
            </w:r>
            <w:bookmarkEnd w:id="88"/>
            <w:bookmarkEnd w:id="89"/>
          </w:p>
          <w:p w:rsidR="00084428" w:rsidRPr="000E3F3E" w:rsidRDefault="00084428" w:rsidP="008D17FE">
            <w:pPr>
              <w:jc w:val="both"/>
              <w:rPr>
                <w:rFonts w:ascii="Century" w:hAnsi="Century"/>
                <w:lang w:val="tr-TR"/>
              </w:rPr>
            </w:pPr>
          </w:p>
          <w:p w:rsidR="00874EEE" w:rsidRPr="000E3F3E" w:rsidRDefault="00084428" w:rsidP="00F43F85">
            <w:pPr>
              <w:jc w:val="both"/>
              <w:rPr>
                <w:rFonts w:ascii="Century" w:hAnsi="Century"/>
                <w:lang w:val="tr-TR"/>
              </w:rPr>
            </w:pPr>
            <w:r w:rsidRPr="000E3F3E">
              <w:rPr>
                <w:rFonts w:ascii="Century" w:hAnsi="Century"/>
                <w:lang w:val="tr-TR"/>
              </w:rPr>
              <w:t xml:space="preserve">Şirketlerin grup ayrımında teknik göstergeleri incelendiğinde, her iki grupta da prim konservasyon oranlarında </w:t>
            </w:r>
            <w:r w:rsidR="00891E9E" w:rsidRPr="000E3F3E">
              <w:rPr>
                <w:rFonts w:ascii="Century" w:hAnsi="Century"/>
                <w:lang w:val="tr-TR"/>
              </w:rPr>
              <w:t xml:space="preserve">büyük </w:t>
            </w:r>
            <w:r w:rsidRPr="000E3F3E">
              <w:rPr>
                <w:rFonts w:ascii="Century" w:hAnsi="Century"/>
                <w:lang w:val="tr-TR"/>
              </w:rPr>
              <w:t>bir değişiklik yaşanma</w:t>
            </w:r>
            <w:r w:rsidR="000621EB" w:rsidRPr="000E3F3E">
              <w:rPr>
                <w:rFonts w:ascii="Century" w:hAnsi="Century"/>
                <w:lang w:val="tr-TR"/>
              </w:rPr>
              <w:t>dığı, ancak</w:t>
            </w:r>
            <w:r w:rsidRPr="000E3F3E">
              <w:rPr>
                <w:rFonts w:ascii="Century" w:hAnsi="Century"/>
                <w:lang w:val="tr-TR"/>
              </w:rPr>
              <w:t xml:space="preserve"> hasar prim oranlarında </w:t>
            </w:r>
            <w:r w:rsidR="000E3F3E" w:rsidRPr="000E3F3E">
              <w:rPr>
                <w:rFonts w:ascii="Century" w:hAnsi="Century"/>
                <w:lang w:val="tr-TR"/>
              </w:rPr>
              <w:t>azalış, buna mukabil teknik karlılık oranlarında artış olduğu g</w:t>
            </w:r>
            <w:r w:rsidRPr="000E3F3E">
              <w:rPr>
                <w:rFonts w:ascii="Century" w:hAnsi="Century"/>
                <w:lang w:val="tr-TR"/>
              </w:rPr>
              <w:t xml:space="preserve">örülmektedir. 2005 yılında Sigortacılık Tek Düzen Hesap Planında yapılan </w:t>
            </w:r>
            <w:r w:rsidR="000621EB" w:rsidRPr="000E3F3E">
              <w:rPr>
                <w:rFonts w:ascii="Century" w:hAnsi="Century"/>
                <w:lang w:val="tr-TR"/>
              </w:rPr>
              <w:t xml:space="preserve">değişiklik ile </w:t>
            </w:r>
            <w:r w:rsidRPr="000E3F3E">
              <w:rPr>
                <w:rFonts w:ascii="Century" w:hAnsi="Century"/>
                <w:lang w:val="tr-TR"/>
              </w:rPr>
              <w:t>faaliyet giderlerinin genel giderlerden çıkar</w:t>
            </w:r>
            <w:r w:rsidR="000621EB" w:rsidRPr="000E3F3E">
              <w:rPr>
                <w:rFonts w:ascii="Century" w:hAnsi="Century"/>
                <w:lang w:val="tr-TR"/>
              </w:rPr>
              <w:t>t</w:t>
            </w:r>
            <w:r w:rsidRPr="000E3F3E">
              <w:rPr>
                <w:rFonts w:ascii="Century" w:hAnsi="Century"/>
                <w:lang w:val="tr-TR"/>
              </w:rPr>
              <w:t>ılarak teknik gider kalemleri aras</w:t>
            </w:r>
            <w:r w:rsidR="00546644" w:rsidRPr="000E3F3E">
              <w:rPr>
                <w:rFonts w:ascii="Century" w:hAnsi="Century"/>
                <w:lang w:val="tr-TR"/>
              </w:rPr>
              <w:t xml:space="preserve">ına </w:t>
            </w:r>
            <w:r w:rsidR="00891E9E" w:rsidRPr="000E3F3E">
              <w:rPr>
                <w:rFonts w:ascii="Century" w:hAnsi="Century"/>
                <w:lang w:val="tr-TR"/>
              </w:rPr>
              <w:t>dahil edilmesi</w:t>
            </w:r>
            <w:r w:rsidR="00546644" w:rsidRPr="000E3F3E">
              <w:rPr>
                <w:rFonts w:ascii="Century" w:hAnsi="Century"/>
                <w:lang w:val="tr-TR"/>
              </w:rPr>
              <w:t xml:space="preserve"> mali karlılık</w:t>
            </w:r>
            <w:r w:rsidR="00891E9E" w:rsidRPr="000E3F3E">
              <w:rPr>
                <w:rFonts w:ascii="Century" w:hAnsi="Century"/>
                <w:lang w:val="tr-TR"/>
              </w:rPr>
              <w:t>t</w:t>
            </w:r>
            <w:r w:rsidR="00546644" w:rsidRPr="000E3F3E">
              <w:rPr>
                <w:rFonts w:ascii="Century" w:hAnsi="Century"/>
                <w:lang w:val="tr-TR"/>
              </w:rPr>
              <w:t xml:space="preserve">a </w:t>
            </w:r>
            <w:r w:rsidRPr="000E3F3E">
              <w:rPr>
                <w:rFonts w:ascii="Century" w:hAnsi="Century"/>
                <w:lang w:val="tr-TR"/>
              </w:rPr>
              <w:t>artış</w:t>
            </w:r>
            <w:r w:rsidR="00891E9E" w:rsidRPr="000E3F3E">
              <w:rPr>
                <w:rFonts w:ascii="Century" w:hAnsi="Century"/>
                <w:lang w:val="tr-TR"/>
              </w:rPr>
              <w:t xml:space="preserve"> </w:t>
            </w:r>
            <w:r w:rsidR="000621EB" w:rsidRPr="000E3F3E">
              <w:rPr>
                <w:rFonts w:ascii="Century" w:hAnsi="Century"/>
                <w:lang w:val="tr-TR"/>
              </w:rPr>
              <w:t xml:space="preserve">teknik karlılıkta </w:t>
            </w:r>
            <w:r w:rsidR="00891E9E" w:rsidRPr="000E3F3E">
              <w:rPr>
                <w:rFonts w:ascii="Century" w:hAnsi="Century"/>
                <w:lang w:val="tr-TR"/>
              </w:rPr>
              <w:t xml:space="preserve">ise </w:t>
            </w:r>
            <w:r w:rsidR="000621EB" w:rsidRPr="000E3F3E">
              <w:rPr>
                <w:rFonts w:ascii="Century" w:hAnsi="Century"/>
                <w:lang w:val="tr-TR"/>
              </w:rPr>
              <w:t xml:space="preserve">düşüş yaşanmasına </w:t>
            </w:r>
            <w:r w:rsidRPr="000E3F3E">
              <w:rPr>
                <w:rFonts w:ascii="Century" w:hAnsi="Century"/>
                <w:lang w:val="tr-TR"/>
              </w:rPr>
              <w:t>sebep olmuştu</w:t>
            </w:r>
            <w:r w:rsidR="00D05214">
              <w:rPr>
                <w:rFonts w:ascii="Century" w:hAnsi="Century"/>
                <w:lang w:val="tr-TR"/>
              </w:rPr>
              <w:t>r</w:t>
            </w:r>
            <w:r w:rsidRPr="000E3F3E">
              <w:rPr>
                <w:rFonts w:ascii="Century" w:hAnsi="Century"/>
                <w:lang w:val="tr-TR"/>
              </w:rPr>
              <w:t>.</w:t>
            </w:r>
          </w:p>
          <w:p w:rsidR="00F43F85" w:rsidRPr="00367FA3" w:rsidRDefault="00F43F85" w:rsidP="00F43F85">
            <w:pPr>
              <w:jc w:val="both"/>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AE5034" w:rsidRPr="00A41A00" w:rsidRDefault="002B1753" w:rsidP="002B1753">
            <w:pPr>
              <w:ind w:left="357"/>
              <w:rPr>
                <w:rFonts w:ascii="Century" w:hAnsi="Century"/>
                <w:b/>
                <w:color w:val="404040"/>
              </w:rPr>
            </w:pPr>
            <w:r w:rsidRPr="00A41A00">
              <w:rPr>
                <w:rFonts w:ascii="Century" w:hAnsi="Century"/>
                <w:b/>
                <w:color w:val="404040"/>
              </w:rPr>
              <w:t xml:space="preserve">D. </w:t>
            </w:r>
            <w:r w:rsidR="00AE5034" w:rsidRPr="00A41A00">
              <w:rPr>
                <w:rFonts w:ascii="Century" w:hAnsi="Century"/>
                <w:b/>
                <w:color w:val="404040"/>
              </w:rPr>
              <w:t>Technical Indicators</w:t>
            </w:r>
          </w:p>
          <w:p w:rsidR="00D86152" w:rsidRPr="00A41A00" w:rsidRDefault="00D86152" w:rsidP="008D17FE">
            <w:pPr>
              <w:rPr>
                <w:rFonts w:ascii="Century" w:hAnsi="Century"/>
                <w:color w:val="404040"/>
                <w:highlight w:val="yellow"/>
                <w:lang w:val="tr-TR"/>
              </w:rPr>
            </w:pPr>
          </w:p>
          <w:p w:rsidR="00AE5034" w:rsidRPr="00A41A00" w:rsidRDefault="00AE5034" w:rsidP="00AE5034">
            <w:pPr>
              <w:jc w:val="both"/>
              <w:rPr>
                <w:rFonts w:ascii="Century" w:hAnsi="Century"/>
                <w:color w:val="404040"/>
              </w:rPr>
            </w:pPr>
            <w:r w:rsidRPr="00A41A00">
              <w:rPr>
                <w:rFonts w:ascii="Century" w:hAnsi="Century"/>
                <w:color w:val="404040"/>
              </w:rPr>
              <w:t xml:space="preserve">It is observed that there is not much change in the premium retention ratio however </w:t>
            </w:r>
            <w:r w:rsidR="00964E68" w:rsidRPr="00A41A00">
              <w:rPr>
                <w:rFonts w:ascii="Century" w:hAnsi="Century"/>
                <w:color w:val="404040"/>
              </w:rPr>
              <w:t xml:space="preserve">there has been a decrease in </w:t>
            </w:r>
            <w:r w:rsidRPr="00A41A00">
              <w:rPr>
                <w:rFonts w:ascii="Century" w:hAnsi="Century"/>
                <w:color w:val="404040"/>
              </w:rPr>
              <w:t xml:space="preserve">loss ratio and </w:t>
            </w:r>
            <w:r w:rsidR="00964E68" w:rsidRPr="00A41A00">
              <w:rPr>
                <w:rFonts w:ascii="Century" w:hAnsi="Century"/>
                <w:color w:val="404040"/>
              </w:rPr>
              <w:t xml:space="preserve">an increase in technical profit </w:t>
            </w:r>
            <w:r w:rsidRPr="00A41A00">
              <w:rPr>
                <w:rFonts w:ascii="Century" w:hAnsi="Century"/>
                <w:color w:val="404040"/>
              </w:rPr>
              <w:t>ratio</w:t>
            </w:r>
            <w:r w:rsidR="00964E68" w:rsidRPr="00A41A00">
              <w:rPr>
                <w:rFonts w:ascii="Century" w:hAnsi="Century"/>
                <w:color w:val="404040"/>
              </w:rPr>
              <w:t>.</w:t>
            </w:r>
            <w:r w:rsidRPr="00A41A00">
              <w:rPr>
                <w:rFonts w:ascii="Century" w:hAnsi="Century"/>
                <w:color w:val="404040"/>
              </w:rPr>
              <w:t xml:space="preserve"> The technical profit ratio decreased significantly because of the increase in </w:t>
            </w:r>
            <w:r w:rsidR="00083E70" w:rsidRPr="00A41A00">
              <w:rPr>
                <w:rFonts w:ascii="Century" w:hAnsi="Century"/>
                <w:color w:val="404040"/>
              </w:rPr>
              <w:t xml:space="preserve">occurred </w:t>
            </w:r>
            <w:r w:rsidRPr="00A41A00">
              <w:rPr>
                <w:rFonts w:ascii="Century" w:hAnsi="Century"/>
                <w:color w:val="404040"/>
              </w:rPr>
              <w:t>losses and the amendment in insurance “uniform chart of account” in 2005. As a result of the foregoing amendment operational expenditures have been considered as technical expenditures since 2005 and thus there has been an increase in financial profit</w:t>
            </w:r>
            <w:r w:rsidR="005510B2" w:rsidRPr="00A41A00">
              <w:rPr>
                <w:rFonts w:ascii="Century" w:hAnsi="Century"/>
                <w:color w:val="404040"/>
              </w:rPr>
              <w:t xml:space="preserve"> and decrease in technical profit</w:t>
            </w:r>
            <w:r w:rsidRPr="00A41A00">
              <w:rPr>
                <w:rFonts w:ascii="Century" w:hAnsi="Century"/>
                <w:color w:val="404040"/>
              </w:rPr>
              <w:t>.</w:t>
            </w:r>
          </w:p>
          <w:p w:rsidR="00AE5034" w:rsidRPr="00367FA3" w:rsidRDefault="00AE5034" w:rsidP="008D17FE">
            <w:pPr>
              <w:rPr>
                <w:rFonts w:ascii="Century" w:hAnsi="Century"/>
                <w:highlight w:val="yellow"/>
                <w:lang w:val="tr-TR"/>
              </w:rPr>
            </w:pPr>
          </w:p>
        </w:tc>
      </w:tr>
      <w:tr w:rsidR="00D86152" w:rsidRPr="00367FA3">
        <w:tc>
          <w:tcPr>
            <w:tcW w:w="9855" w:type="dxa"/>
            <w:gridSpan w:val="5"/>
          </w:tcPr>
          <w:p w:rsidR="00084428" w:rsidRPr="000E3F3E" w:rsidRDefault="00084428" w:rsidP="00D96FCE">
            <w:pPr>
              <w:pStyle w:val="ResimYazs"/>
              <w:jc w:val="center"/>
              <w:rPr>
                <w:rFonts w:ascii="Century" w:hAnsi="Century"/>
                <w:lang w:val="tr-TR"/>
              </w:rPr>
            </w:pPr>
            <w:bookmarkStart w:id="90" w:name="_Toc170665551"/>
            <w:r w:rsidRPr="000E3F3E">
              <w:rPr>
                <w:rFonts w:ascii="Century" w:hAnsi="Century"/>
                <w:lang w:val="tr-TR"/>
              </w:rPr>
              <w:t xml:space="preserve">Tablo </w:t>
            </w:r>
            <w:r w:rsidRPr="000E3F3E">
              <w:rPr>
                <w:rFonts w:ascii="Century" w:hAnsi="Century"/>
                <w:lang w:val="tr-TR"/>
              </w:rPr>
              <w:fldChar w:fldCharType="begin"/>
            </w:r>
            <w:r w:rsidRPr="000E3F3E">
              <w:rPr>
                <w:rFonts w:ascii="Century" w:hAnsi="Century"/>
                <w:lang w:val="tr-TR"/>
              </w:rPr>
              <w:instrText xml:space="preserve"> STYLEREF 2 \s </w:instrText>
            </w:r>
            <w:r w:rsidRPr="000E3F3E">
              <w:rPr>
                <w:rFonts w:ascii="Century" w:hAnsi="Century"/>
                <w:lang w:val="tr-TR"/>
              </w:rPr>
              <w:fldChar w:fldCharType="separate"/>
            </w:r>
            <w:r w:rsidR="00DA718E">
              <w:rPr>
                <w:rFonts w:ascii="Century" w:hAnsi="Century"/>
                <w:noProof/>
                <w:lang w:val="tr-TR"/>
              </w:rPr>
              <w:t>1.4</w:t>
            </w:r>
            <w:r w:rsidRPr="000E3F3E">
              <w:rPr>
                <w:rFonts w:ascii="Century" w:hAnsi="Century"/>
                <w:lang w:val="tr-TR"/>
              </w:rPr>
              <w:fldChar w:fldCharType="end"/>
            </w:r>
            <w:r w:rsidRPr="000E3F3E">
              <w:rPr>
                <w:rFonts w:ascii="Century" w:hAnsi="Century"/>
                <w:lang w:val="tr-TR"/>
              </w:rPr>
              <w:noBreakHyphen/>
            </w:r>
            <w:r w:rsidRPr="000E3F3E">
              <w:rPr>
                <w:rFonts w:ascii="Century" w:hAnsi="Century"/>
                <w:lang w:val="tr-TR"/>
              </w:rPr>
              <w:fldChar w:fldCharType="begin"/>
            </w:r>
            <w:r w:rsidRPr="000E3F3E">
              <w:rPr>
                <w:rFonts w:ascii="Century" w:hAnsi="Century"/>
                <w:lang w:val="tr-TR"/>
              </w:rPr>
              <w:instrText xml:space="preserve"> SEQ Tablo \* ARABIC \s 2 </w:instrText>
            </w:r>
            <w:r w:rsidRPr="000E3F3E">
              <w:rPr>
                <w:rFonts w:ascii="Century" w:hAnsi="Century"/>
                <w:lang w:val="tr-TR"/>
              </w:rPr>
              <w:fldChar w:fldCharType="separate"/>
            </w:r>
            <w:r w:rsidR="00DA718E">
              <w:rPr>
                <w:rFonts w:ascii="Century" w:hAnsi="Century"/>
                <w:noProof/>
                <w:lang w:val="tr-TR"/>
              </w:rPr>
              <w:t>16</w:t>
            </w:r>
            <w:r w:rsidRPr="000E3F3E">
              <w:rPr>
                <w:rFonts w:ascii="Century" w:hAnsi="Century"/>
                <w:lang w:val="tr-TR"/>
              </w:rPr>
              <w:fldChar w:fldCharType="end"/>
            </w:r>
            <w:r w:rsidRPr="000E3F3E">
              <w:rPr>
                <w:rFonts w:ascii="Century" w:hAnsi="Century"/>
                <w:lang w:val="tr-TR"/>
              </w:rPr>
              <w:t xml:space="preserve">; </w:t>
            </w:r>
            <w:r w:rsidRPr="000E3F3E">
              <w:rPr>
                <w:rFonts w:ascii="Century" w:hAnsi="Century"/>
                <w:bCs w:val="0"/>
                <w:lang w:val="tr-TR"/>
              </w:rPr>
              <w:t xml:space="preserve">Sektör Karlılık Göstergeleri </w:t>
            </w:r>
            <w:r w:rsidRPr="000E3F3E">
              <w:rPr>
                <w:rFonts w:ascii="Century" w:hAnsi="Century"/>
                <w:b w:val="0"/>
                <w:bCs w:val="0"/>
                <w:lang w:val="tr-TR"/>
              </w:rPr>
              <w:t xml:space="preserve">– </w:t>
            </w:r>
            <w:r w:rsidRPr="000E3F3E">
              <w:rPr>
                <w:rFonts w:ascii="Century" w:hAnsi="Century"/>
                <w:b w:val="0"/>
                <w:bCs w:val="0"/>
                <w:i/>
                <w:lang w:val="tr-TR"/>
              </w:rPr>
              <w:t>Profitability Ratios</w:t>
            </w:r>
            <w:bookmarkEnd w:id="90"/>
          </w:p>
          <w:p w:rsidR="00891E9E" w:rsidRDefault="000E3F3E" w:rsidP="003579AF">
            <w:pPr>
              <w:jc w:val="center"/>
              <w:rPr>
                <w:rFonts w:ascii="Century" w:hAnsi="Century"/>
                <w:lang w:val="tr-TR"/>
              </w:rPr>
            </w:pPr>
            <w:r w:rsidRPr="000E3F3E">
              <w:rPr>
                <w:rFonts w:ascii="Century" w:hAnsi="Century"/>
                <w:lang w:val="tr-TR"/>
              </w:rPr>
              <w:pict>
                <v:shape id="_x0000_i1069" type="#_x0000_t75" style="width:381.75pt;height:199.5pt">
                  <v:imagedata r:id="rId59" o:title=""/>
                </v:shape>
              </w:pict>
            </w:r>
          </w:p>
          <w:p w:rsidR="00572E97" w:rsidRDefault="00572E97" w:rsidP="003579AF">
            <w:pPr>
              <w:jc w:val="center"/>
              <w:rPr>
                <w:rFonts w:ascii="Century" w:hAnsi="Century"/>
                <w:lang w:val="tr-TR"/>
              </w:rPr>
            </w:pPr>
          </w:p>
          <w:p w:rsidR="00F264F4" w:rsidRDefault="00F264F4" w:rsidP="00572E97">
            <w:pPr>
              <w:rPr>
                <w:rFonts w:ascii="Century" w:hAnsi="Century"/>
                <w:highlight w:val="yellow"/>
                <w:lang w:val="tr-TR"/>
              </w:rPr>
            </w:pPr>
          </w:p>
          <w:p w:rsidR="00306980" w:rsidRPr="00367FA3" w:rsidRDefault="00306980" w:rsidP="00572E97">
            <w:pPr>
              <w:rPr>
                <w:rFonts w:ascii="Century" w:hAnsi="Century"/>
                <w:highlight w:val="yellow"/>
                <w:lang w:val="tr-TR"/>
              </w:rPr>
            </w:pPr>
          </w:p>
        </w:tc>
      </w:tr>
      <w:tr w:rsidR="00D86152" w:rsidRPr="00367FA3">
        <w:tc>
          <w:tcPr>
            <w:tcW w:w="4815" w:type="dxa"/>
            <w:gridSpan w:val="2"/>
          </w:tcPr>
          <w:p w:rsidR="00084428" w:rsidRPr="00300F16" w:rsidRDefault="00084428" w:rsidP="00D15063">
            <w:pPr>
              <w:pStyle w:val="Balk4"/>
              <w:keepNext w:val="0"/>
              <w:numPr>
                <w:ilvl w:val="0"/>
                <w:numId w:val="12"/>
              </w:numPr>
              <w:spacing w:before="0" w:after="0"/>
              <w:ind w:left="357" w:firstLine="0"/>
              <w:rPr>
                <w:rFonts w:ascii="Century" w:hAnsi="Century"/>
                <w:sz w:val="24"/>
                <w:szCs w:val="24"/>
                <w:lang w:val="tr-TR"/>
              </w:rPr>
            </w:pPr>
            <w:bookmarkStart w:id="91" w:name="_Toc198287706"/>
            <w:bookmarkStart w:id="92" w:name="_Toc199251253"/>
            <w:r w:rsidRPr="00300F16">
              <w:rPr>
                <w:rFonts w:ascii="Century" w:hAnsi="Century"/>
                <w:sz w:val="24"/>
                <w:szCs w:val="24"/>
                <w:lang w:val="tr-TR"/>
              </w:rPr>
              <w:lastRenderedPageBreak/>
              <w:t>Hayat Branşı Faaliyetleri</w:t>
            </w:r>
            <w:bookmarkEnd w:id="91"/>
            <w:bookmarkEnd w:id="92"/>
          </w:p>
          <w:p w:rsidR="00084428" w:rsidRPr="00300F16" w:rsidRDefault="00084428" w:rsidP="008D17FE">
            <w:pPr>
              <w:jc w:val="both"/>
              <w:rPr>
                <w:rFonts w:ascii="Century" w:hAnsi="Century"/>
                <w:lang w:val="tr-TR"/>
              </w:rPr>
            </w:pPr>
          </w:p>
          <w:p w:rsidR="00084428" w:rsidRPr="00300F16" w:rsidRDefault="00623E92" w:rsidP="008D17FE">
            <w:pPr>
              <w:jc w:val="both"/>
              <w:rPr>
                <w:rFonts w:ascii="Century" w:hAnsi="Century"/>
                <w:lang w:val="tr-TR"/>
              </w:rPr>
            </w:pPr>
            <w:r>
              <w:rPr>
                <w:rFonts w:ascii="Century" w:hAnsi="Century"/>
                <w:lang w:val="tr-TR"/>
              </w:rPr>
              <w:t>2007 yılında sigortacılık sektöründe h</w:t>
            </w:r>
            <w:r w:rsidR="00874EEE" w:rsidRPr="00300F16">
              <w:rPr>
                <w:rFonts w:ascii="Century" w:hAnsi="Century"/>
                <w:lang w:val="tr-TR"/>
              </w:rPr>
              <w:t xml:space="preserve">ayat dışı sigorta şirketi ünvanını taşımasına rağmen geçmiş yıllardan kaynaklanan </w:t>
            </w:r>
            <w:r w:rsidR="00084428" w:rsidRPr="00300F16">
              <w:rPr>
                <w:rFonts w:ascii="Century" w:hAnsi="Century"/>
                <w:lang w:val="tr-TR"/>
              </w:rPr>
              <w:t>hayat portföyü</w:t>
            </w:r>
            <w:r w:rsidR="00891E9E" w:rsidRPr="00300F16">
              <w:rPr>
                <w:rFonts w:ascii="Century" w:hAnsi="Century"/>
                <w:lang w:val="tr-TR"/>
              </w:rPr>
              <w:t>nü</w:t>
            </w:r>
            <w:r w:rsidR="00084428" w:rsidRPr="00300F16">
              <w:rPr>
                <w:rFonts w:ascii="Century" w:hAnsi="Century"/>
                <w:lang w:val="tr-TR"/>
              </w:rPr>
              <w:t xml:space="preserve"> devam </w:t>
            </w:r>
            <w:r w:rsidR="00891E9E" w:rsidRPr="00300F16">
              <w:rPr>
                <w:rFonts w:ascii="Century" w:hAnsi="Century"/>
                <w:lang w:val="tr-TR"/>
              </w:rPr>
              <w:t>ettiren</w:t>
            </w:r>
            <w:r w:rsidR="00084428" w:rsidRPr="00300F16">
              <w:rPr>
                <w:rFonts w:ascii="Century" w:hAnsi="Century"/>
                <w:lang w:val="tr-TR"/>
              </w:rPr>
              <w:t xml:space="preserve"> </w:t>
            </w:r>
            <w:r w:rsidR="00106C2C">
              <w:rPr>
                <w:rFonts w:ascii="Century" w:hAnsi="Century"/>
                <w:lang w:val="tr-TR"/>
              </w:rPr>
              <w:t>6</w:t>
            </w:r>
            <w:r w:rsidR="00084428" w:rsidRPr="00300F16">
              <w:rPr>
                <w:rFonts w:ascii="Century" w:hAnsi="Century"/>
                <w:lang w:val="tr-TR"/>
              </w:rPr>
              <w:t xml:space="preserve"> şirket ile birlikte hayat branşında </w:t>
            </w:r>
            <w:r w:rsidR="000E3F3E" w:rsidRPr="00300F16">
              <w:rPr>
                <w:rFonts w:ascii="Century" w:hAnsi="Century"/>
                <w:lang w:val="tr-TR"/>
              </w:rPr>
              <w:t xml:space="preserve">portföyü bulunan </w:t>
            </w:r>
            <w:r w:rsidR="00891E9E" w:rsidRPr="00300F16">
              <w:rPr>
                <w:rFonts w:ascii="Century" w:hAnsi="Century"/>
                <w:lang w:val="tr-TR"/>
              </w:rPr>
              <w:t xml:space="preserve">toplam </w:t>
            </w:r>
            <w:r w:rsidR="00084428" w:rsidRPr="00300F16">
              <w:rPr>
                <w:rFonts w:ascii="Century" w:hAnsi="Century"/>
                <w:lang w:val="tr-TR"/>
              </w:rPr>
              <w:t>2</w:t>
            </w:r>
            <w:r w:rsidR="00106C2C">
              <w:rPr>
                <w:rFonts w:ascii="Century" w:hAnsi="Century"/>
                <w:lang w:val="tr-TR"/>
              </w:rPr>
              <w:t>7</w:t>
            </w:r>
            <w:r w:rsidR="00084428" w:rsidRPr="00300F16">
              <w:rPr>
                <w:rFonts w:ascii="Century" w:hAnsi="Century"/>
                <w:lang w:val="tr-TR"/>
              </w:rPr>
              <w:t xml:space="preserve"> şirket mevcuttur. </w:t>
            </w:r>
            <w:r w:rsidR="00874EEE" w:rsidRPr="00300F16">
              <w:rPr>
                <w:rFonts w:ascii="Century" w:hAnsi="Century"/>
                <w:lang w:val="tr-TR"/>
              </w:rPr>
              <w:t xml:space="preserve">Bu şirketlerden </w:t>
            </w:r>
            <w:r w:rsidR="00084428" w:rsidRPr="00300F16">
              <w:rPr>
                <w:rFonts w:ascii="Century" w:hAnsi="Century"/>
                <w:lang w:val="tr-TR"/>
              </w:rPr>
              <w:t>31.12.200</w:t>
            </w:r>
            <w:r w:rsidR="000E3F3E" w:rsidRPr="00300F16">
              <w:rPr>
                <w:rFonts w:ascii="Century" w:hAnsi="Century"/>
                <w:lang w:val="tr-TR"/>
              </w:rPr>
              <w:t>7</w:t>
            </w:r>
            <w:r w:rsidR="00084428" w:rsidRPr="00300F16">
              <w:rPr>
                <w:rFonts w:ascii="Century" w:hAnsi="Century"/>
                <w:lang w:val="tr-TR"/>
              </w:rPr>
              <w:t xml:space="preserve"> tarihi</w:t>
            </w:r>
            <w:r w:rsidR="000E3F3E" w:rsidRPr="00300F16">
              <w:rPr>
                <w:rFonts w:ascii="Century" w:hAnsi="Century"/>
                <w:lang w:val="tr-TR"/>
              </w:rPr>
              <w:t xml:space="preserve"> itibariyle faaliyette bulunan 20</w:t>
            </w:r>
            <w:r w:rsidR="00084428" w:rsidRPr="00300F16">
              <w:rPr>
                <w:rFonts w:ascii="Century" w:hAnsi="Century"/>
                <w:lang w:val="tr-TR"/>
              </w:rPr>
              <w:t xml:space="preserve"> şirkete ilişkin detaylı veriler Rapor’un Tablolar kısmında (Tablo</w:t>
            </w:r>
            <w:r w:rsidR="00891E9E" w:rsidRPr="00300F16">
              <w:rPr>
                <w:rFonts w:ascii="Century" w:hAnsi="Century"/>
                <w:lang w:val="tr-TR"/>
              </w:rPr>
              <w:t xml:space="preserve"> </w:t>
            </w:r>
            <w:r w:rsidR="00084428" w:rsidRPr="00300F16">
              <w:rPr>
                <w:rFonts w:ascii="Century" w:hAnsi="Century"/>
                <w:lang w:val="tr-TR"/>
              </w:rPr>
              <w:t>3</w:t>
            </w:r>
            <w:r w:rsidR="000E3F3E" w:rsidRPr="00300F16">
              <w:rPr>
                <w:rFonts w:ascii="Century" w:hAnsi="Century"/>
                <w:lang w:val="tr-TR"/>
              </w:rPr>
              <w:t>5</w:t>
            </w:r>
            <w:r w:rsidR="00084428" w:rsidRPr="00300F16">
              <w:rPr>
                <w:rFonts w:ascii="Century" w:hAnsi="Century"/>
                <w:lang w:val="tr-TR"/>
              </w:rPr>
              <w:t>-4</w:t>
            </w:r>
            <w:r w:rsidR="000E3F3E" w:rsidRPr="00300F16">
              <w:rPr>
                <w:rFonts w:ascii="Century" w:hAnsi="Century"/>
                <w:lang w:val="tr-TR"/>
              </w:rPr>
              <w:t>2</w:t>
            </w:r>
            <w:r w:rsidR="00084428" w:rsidRPr="00300F16">
              <w:rPr>
                <w:rFonts w:ascii="Century" w:hAnsi="Century"/>
                <w:lang w:val="tr-TR"/>
              </w:rPr>
              <w:t>) verilmiştir.</w:t>
            </w:r>
          </w:p>
          <w:p w:rsidR="00084428" w:rsidRPr="00367FA3" w:rsidRDefault="00084428" w:rsidP="008D17FE">
            <w:pPr>
              <w:jc w:val="both"/>
              <w:rPr>
                <w:rFonts w:ascii="Century" w:hAnsi="Century"/>
                <w:highlight w:val="yellow"/>
                <w:lang w:val="tr-TR"/>
              </w:rPr>
            </w:pPr>
          </w:p>
          <w:p w:rsidR="00E9638A" w:rsidRPr="009770F5" w:rsidRDefault="00084428" w:rsidP="006B3335">
            <w:pPr>
              <w:jc w:val="both"/>
              <w:rPr>
                <w:rFonts w:ascii="Century" w:hAnsi="Century"/>
                <w:lang w:val="tr-TR"/>
              </w:rPr>
            </w:pPr>
            <w:r w:rsidRPr="009770F5">
              <w:rPr>
                <w:rFonts w:ascii="Century" w:hAnsi="Century"/>
                <w:lang w:val="tr-TR"/>
              </w:rPr>
              <w:t>Direkt prim üretiminin verilen teminat bazında yıllar itibariyle seyri incelendiğinde, birikimli sigorta  portföyün</w:t>
            </w:r>
            <w:r w:rsidR="00891E9E" w:rsidRPr="009770F5">
              <w:rPr>
                <w:rFonts w:ascii="Century" w:hAnsi="Century"/>
                <w:lang w:val="tr-TR"/>
              </w:rPr>
              <w:t>ün</w:t>
            </w:r>
            <w:r w:rsidRPr="009770F5">
              <w:rPr>
                <w:rFonts w:ascii="Century" w:hAnsi="Century"/>
                <w:lang w:val="tr-TR"/>
              </w:rPr>
              <w:t xml:space="preserve"> 2004 yılından itibaren azal</w:t>
            </w:r>
            <w:r w:rsidR="00874EEE" w:rsidRPr="009770F5">
              <w:rPr>
                <w:rFonts w:ascii="Century" w:hAnsi="Century"/>
                <w:lang w:val="tr-TR"/>
              </w:rPr>
              <w:t>makta</w:t>
            </w:r>
            <w:r w:rsidRPr="009770F5">
              <w:rPr>
                <w:rFonts w:ascii="Century" w:hAnsi="Century"/>
                <w:lang w:val="tr-TR"/>
              </w:rPr>
              <w:t xml:space="preserve"> olduğu, biriki</w:t>
            </w:r>
            <w:r w:rsidR="00891E9E" w:rsidRPr="009770F5">
              <w:rPr>
                <w:rFonts w:ascii="Century" w:hAnsi="Century"/>
                <w:lang w:val="tr-TR"/>
              </w:rPr>
              <w:t>mli olmayan sigorta portföyünün</w:t>
            </w:r>
            <w:r w:rsidRPr="009770F5">
              <w:rPr>
                <w:rFonts w:ascii="Century" w:hAnsi="Century"/>
                <w:lang w:val="tr-TR"/>
              </w:rPr>
              <w:t xml:space="preserve"> toplam portföy içindeki ağırlığının </w:t>
            </w:r>
            <w:r w:rsidR="00891E9E" w:rsidRPr="009770F5">
              <w:rPr>
                <w:rFonts w:ascii="Century" w:hAnsi="Century"/>
                <w:lang w:val="tr-TR"/>
              </w:rPr>
              <w:t xml:space="preserve">ise </w:t>
            </w:r>
            <w:r w:rsidRPr="009770F5">
              <w:rPr>
                <w:rFonts w:ascii="Century" w:hAnsi="Century"/>
                <w:lang w:val="tr-TR"/>
              </w:rPr>
              <w:t xml:space="preserve">arttığı gözlenmektedir.   </w:t>
            </w:r>
          </w:p>
          <w:p w:rsidR="00874EEE" w:rsidRDefault="00874EEE" w:rsidP="006B3335">
            <w:pPr>
              <w:jc w:val="both"/>
              <w:rPr>
                <w:rFonts w:ascii="Century" w:hAnsi="Century"/>
                <w:highlight w:val="yellow"/>
                <w:lang w:val="tr-TR"/>
              </w:rPr>
            </w:pPr>
          </w:p>
          <w:p w:rsidR="00572E97" w:rsidRPr="00367FA3" w:rsidRDefault="00572E97" w:rsidP="006B3335">
            <w:pPr>
              <w:jc w:val="both"/>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AE5034" w:rsidRPr="00A41A00" w:rsidRDefault="002B1753" w:rsidP="002B1753">
            <w:pPr>
              <w:ind w:left="357"/>
              <w:rPr>
                <w:rFonts w:ascii="Century" w:hAnsi="Century"/>
                <w:b/>
                <w:color w:val="404040"/>
              </w:rPr>
            </w:pPr>
            <w:r w:rsidRPr="00A41A00">
              <w:rPr>
                <w:rFonts w:ascii="Century" w:hAnsi="Century"/>
                <w:b/>
                <w:color w:val="404040"/>
              </w:rPr>
              <w:t xml:space="preserve">E.  </w:t>
            </w:r>
            <w:r w:rsidR="00AE5034" w:rsidRPr="00A41A00">
              <w:rPr>
                <w:rFonts w:ascii="Century" w:hAnsi="Century"/>
                <w:b/>
                <w:color w:val="404040"/>
              </w:rPr>
              <w:t>Life Branch Activities</w:t>
            </w:r>
          </w:p>
          <w:p w:rsidR="00AE5034" w:rsidRPr="00A41A00" w:rsidRDefault="00AE5034" w:rsidP="008D17FE">
            <w:pPr>
              <w:rPr>
                <w:rFonts w:ascii="Century" w:hAnsi="Century"/>
                <w:color w:val="404040"/>
                <w:lang w:val="tr-TR"/>
              </w:rPr>
            </w:pPr>
          </w:p>
          <w:p w:rsidR="00AE5034" w:rsidRPr="00A41A00" w:rsidRDefault="00AE5034" w:rsidP="00AE5034">
            <w:pPr>
              <w:jc w:val="both"/>
              <w:rPr>
                <w:rFonts w:ascii="Century" w:hAnsi="Century"/>
                <w:color w:val="404040"/>
              </w:rPr>
            </w:pPr>
            <w:r w:rsidRPr="00A41A00">
              <w:rPr>
                <w:rFonts w:ascii="Century" w:hAnsi="Century"/>
                <w:color w:val="404040"/>
              </w:rPr>
              <w:t>There are 2</w:t>
            </w:r>
            <w:r w:rsidR="00623E92">
              <w:rPr>
                <w:rFonts w:ascii="Century" w:hAnsi="Century"/>
                <w:color w:val="404040"/>
              </w:rPr>
              <w:t>7</w:t>
            </w:r>
            <w:r w:rsidRPr="00A41A00">
              <w:rPr>
                <w:rFonts w:ascii="Century" w:hAnsi="Century"/>
                <w:color w:val="404040"/>
              </w:rPr>
              <w:t xml:space="preserve"> companies in the life branch in insurance sector including </w:t>
            </w:r>
            <w:r w:rsidR="00623E92">
              <w:rPr>
                <w:rFonts w:ascii="Century" w:hAnsi="Century"/>
                <w:color w:val="404040"/>
              </w:rPr>
              <w:t>6</w:t>
            </w:r>
            <w:r w:rsidRPr="00A41A00">
              <w:rPr>
                <w:rFonts w:ascii="Century" w:hAnsi="Century"/>
                <w:color w:val="404040"/>
              </w:rPr>
              <w:t xml:space="preserve"> non–life companies maintaining </w:t>
            </w:r>
            <w:r w:rsidR="00874EEE" w:rsidRPr="00A41A00">
              <w:rPr>
                <w:rFonts w:ascii="Century" w:hAnsi="Century"/>
                <w:color w:val="404040"/>
              </w:rPr>
              <w:t xml:space="preserve">only </w:t>
            </w:r>
            <w:r w:rsidRPr="00A41A00">
              <w:rPr>
                <w:rFonts w:ascii="Century" w:hAnsi="Century"/>
                <w:color w:val="404040"/>
              </w:rPr>
              <w:t>its inactive life portfolio</w:t>
            </w:r>
            <w:r w:rsidR="00623E92">
              <w:rPr>
                <w:rFonts w:ascii="Century" w:hAnsi="Century"/>
                <w:color w:val="404040"/>
              </w:rPr>
              <w:t xml:space="preserve"> in 2007</w:t>
            </w:r>
            <w:r w:rsidRPr="00A41A00">
              <w:rPr>
                <w:rFonts w:ascii="Century" w:hAnsi="Century"/>
                <w:color w:val="404040"/>
              </w:rPr>
              <w:t xml:space="preserve">. The detailed data about </w:t>
            </w:r>
            <w:r w:rsidR="00300F16" w:rsidRPr="00A41A00">
              <w:rPr>
                <w:rFonts w:ascii="Century" w:hAnsi="Century"/>
                <w:color w:val="404040"/>
              </w:rPr>
              <w:t>20</w:t>
            </w:r>
            <w:r w:rsidRPr="00A41A00">
              <w:rPr>
                <w:rFonts w:ascii="Century" w:hAnsi="Century"/>
                <w:color w:val="404040"/>
              </w:rPr>
              <w:t xml:space="preserve"> active companies as at</w:t>
            </w:r>
            <w:r w:rsidR="00874EEE" w:rsidRPr="00A41A00">
              <w:rPr>
                <w:rFonts w:ascii="Century" w:hAnsi="Century"/>
                <w:color w:val="404040"/>
              </w:rPr>
              <w:t xml:space="preserve"> </w:t>
            </w:r>
            <w:r w:rsidRPr="00A41A00">
              <w:rPr>
                <w:rFonts w:ascii="Century" w:hAnsi="Century"/>
                <w:color w:val="404040"/>
              </w:rPr>
              <w:t xml:space="preserve">  </w:t>
            </w:r>
            <w:smartTag w:uri="urn:schemas-microsoft-com:office:smarttags" w:element="date">
              <w:smartTagPr>
                <w:attr w:name="Year" w:val="2007"/>
                <w:attr w:name="Day" w:val="31"/>
                <w:attr w:name="Month" w:val="12"/>
              </w:smartTagPr>
              <w:r w:rsidRPr="00A41A00">
                <w:rPr>
                  <w:rFonts w:ascii="Century" w:hAnsi="Century"/>
                  <w:color w:val="404040"/>
                </w:rPr>
                <w:t xml:space="preserve">December </w:t>
              </w:r>
              <w:r w:rsidR="00AB220A" w:rsidRPr="00A41A00">
                <w:rPr>
                  <w:rFonts w:ascii="Century" w:hAnsi="Century"/>
                  <w:color w:val="404040"/>
                </w:rPr>
                <w:t xml:space="preserve">31, </w:t>
              </w:r>
              <w:r w:rsidRPr="00A41A00">
                <w:rPr>
                  <w:rFonts w:ascii="Century" w:hAnsi="Century"/>
                  <w:color w:val="404040"/>
                </w:rPr>
                <w:t>200</w:t>
              </w:r>
              <w:r w:rsidR="00300F16" w:rsidRPr="00A41A00">
                <w:rPr>
                  <w:rFonts w:ascii="Century" w:hAnsi="Century"/>
                  <w:color w:val="404040"/>
                </w:rPr>
                <w:t>7</w:t>
              </w:r>
            </w:smartTag>
            <w:r w:rsidRPr="00A41A00">
              <w:rPr>
                <w:rFonts w:ascii="Century" w:hAnsi="Century"/>
                <w:color w:val="404040"/>
              </w:rPr>
              <w:t xml:space="preserve"> take</w:t>
            </w:r>
            <w:r w:rsidR="00874EEE" w:rsidRPr="00A41A00">
              <w:rPr>
                <w:rFonts w:ascii="Century" w:hAnsi="Century"/>
                <w:color w:val="404040"/>
              </w:rPr>
              <w:t>s</w:t>
            </w:r>
            <w:r w:rsidRPr="00A41A00">
              <w:rPr>
                <w:rFonts w:ascii="Century" w:hAnsi="Century"/>
                <w:color w:val="404040"/>
              </w:rPr>
              <w:t xml:space="preserve"> place in the Tables Chapter of the Report (Tables 3</w:t>
            </w:r>
            <w:r w:rsidR="00300F16" w:rsidRPr="00A41A00">
              <w:rPr>
                <w:rFonts w:ascii="Century" w:hAnsi="Century"/>
                <w:color w:val="404040"/>
              </w:rPr>
              <w:t>5</w:t>
            </w:r>
            <w:r w:rsidR="00AB220A" w:rsidRPr="00A41A00">
              <w:rPr>
                <w:rFonts w:ascii="Century" w:hAnsi="Century"/>
                <w:color w:val="404040"/>
              </w:rPr>
              <w:t>-</w:t>
            </w:r>
            <w:r w:rsidRPr="00A41A00">
              <w:rPr>
                <w:rFonts w:ascii="Century" w:hAnsi="Century"/>
                <w:color w:val="404040"/>
              </w:rPr>
              <w:t>4</w:t>
            </w:r>
            <w:r w:rsidR="00300F16" w:rsidRPr="00A41A00">
              <w:rPr>
                <w:rFonts w:ascii="Century" w:hAnsi="Century"/>
                <w:color w:val="404040"/>
              </w:rPr>
              <w:t>2</w:t>
            </w:r>
            <w:r w:rsidRPr="00A41A00">
              <w:rPr>
                <w:rFonts w:ascii="Century" w:hAnsi="Century"/>
                <w:color w:val="404040"/>
              </w:rPr>
              <w:t xml:space="preserve">). </w:t>
            </w:r>
          </w:p>
          <w:p w:rsidR="00565BB9" w:rsidRPr="00A41A00" w:rsidRDefault="00565BB9" w:rsidP="008D17FE">
            <w:pPr>
              <w:rPr>
                <w:rFonts w:ascii="Century" w:hAnsi="Century"/>
                <w:color w:val="404040"/>
                <w:lang w:val="tr-TR"/>
              </w:rPr>
            </w:pPr>
          </w:p>
          <w:p w:rsidR="00874EEE" w:rsidRPr="00A41A00" w:rsidRDefault="00874EEE" w:rsidP="00E573B5">
            <w:pPr>
              <w:jc w:val="both"/>
              <w:rPr>
                <w:rFonts w:ascii="Century" w:hAnsi="Century"/>
                <w:color w:val="404040"/>
                <w:highlight w:val="yellow"/>
              </w:rPr>
            </w:pPr>
          </w:p>
          <w:p w:rsidR="00300F16" w:rsidRDefault="00300F16" w:rsidP="00E573B5">
            <w:pPr>
              <w:jc w:val="both"/>
              <w:rPr>
                <w:rFonts w:ascii="Century" w:hAnsi="Century"/>
                <w:color w:val="404040"/>
                <w:highlight w:val="yellow"/>
              </w:rPr>
            </w:pPr>
          </w:p>
          <w:p w:rsidR="00623E92" w:rsidRPr="00A41A00" w:rsidRDefault="00623E92" w:rsidP="00E573B5">
            <w:pPr>
              <w:jc w:val="both"/>
              <w:rPr>
                <w:rFonts w:ascii="Century" w:hAnsi="Century"/>
                <w:color w:val="404040"/>
                <w:highlight w:val="yellow"/>
              </w:rPr>
            </w:pPr>
          </w:p>
          <w:p w:rsidR="00E573B5" w:rsidRPr="00A41A00" w:rsidRDefault="00E573B5" w:rsidP="00E573B5">
            <w:pPr>
              <w:jc w:val="both"/>
              <w:rPr>
                <w:rFonts w:ascii="Century" w:hAnsi="Century"/>
                <w:color w:val="404040"/>
              </w:rPr>
            </w:pPr>
            <w:r w:rsidRPr="00A41A00">
              <w:rPr>
                <w:rFonts w:ascii="Century" w:hAnsi="Century"/>
                <w:color w:val="404040"/>
              </w:rPr>
              <w:t>It is observed that there has been decrease in premium volume permanent life insurance since 2004, while the share of life insurance in total premium volume has an increasing trend.</w:t>
            </w:r>
          </w:p>
          <w:p w:rsidR="00565BB9" w:rsidRPr="00367FA3" w:rsidRDefault="00565BB9" w:rsidP="008D17FE">
            <w:pPr>
              <w:rPr>
                <w:rFonts w:ascii="Century" w:hAnsi="Century"/>
                <w:highlight w:val="yellow"/>
                <w:lang w:val="tr-TR"/>
              </w:rPr>
            </w:pPr>
          </w:p>
        </w:tc>
      </w:tr>
      <w:tr w:rsidR="00D86152" w:rsidRPr="00367FA3">
        <w:tc>
          <w:tcPr>
            <w:tcW w:w="9855" w:type="dxa"/>
            <w:gridSpan w:val="5"/>
          </w:tcPr>
          <w:p w:rsidR="00084428" w:rsidRPr="00BC1014" w:rsidRDefault="00084428" w:rsidP="00D96FCE">
            <w:pPr>
              <w:pStyle w:val="ResimYazs"/>
              <w:jc w:val="center"/>
              <w:rPr>
                <w:rFonts w:ascii="Century" w:hAnsi="Century"/>
                <w:b w:val="0"/>
                <w:lang w:val="tr-TR"/>
              </w:rPr>
            </w:pPr>
            <w:bookmarkStart w:id="93" w:name="_Toc170665552"/>
            <w:r w:rsidRPr="00BC1014">
              <w:rPr>
                <w:rFonts w:ascii="Century" w:hAnsi="Century"/>
                <w:lang w:val="tr-TR"/>
              </w:rPr>
              <w:t xml:space="preserve">Tablo </w:t>
            </w:r>
            <w:r w:rsidRPr="00BC1014">
              <w:rPr>
                <w:rFonts w:ascii="Century" w:hAnsi="Century"/>
                <w:lang w:val="tr-TR"/>
              </w:rPr>
              <w:fldChar w:fldCharType="begin"/>
            </w:r>
            <w:r w:rsidRPr="00BC1014">
              <w:rPr>
                <w:rFonts w:ascii="Century" w:hAnsi="Century"/>
                <w:lang w:val="tr-TR"/>
              </w:rPr>
              <w:instrText xml:space="preserve"> STYLEREF 2 \s </w:instrText>
            </w:r>
            <w:r w:rsidRPr="00BC1014">
              <w:rPr>
                <w:rFonts w:ascii="Century" w:hAnsi="Century"/>
                <w:lang w:val="tr-TR"/>
              </w:rPr>
              <w:fldChar w:fldCharType="separate"/>
            </w:r>
            <w:r w:rsidR="00DA718E">
              <w:rPr>
                <w:rFonts w:ascii="Century" w:hAnsi="Century"/>
                <w:noProof/>
                <w:lang w:val="tr-TR"/>
              </w:rPr>
              <w:t>1.4</w:t>
            </w:r>
            <w:r w:rsidRPr="00BC1014">
              <w:rPr>
                <w:rFonts w:ascii="Century" w:hAnsi="Century"/>
                <w:lang w:val="tr-TR"/>
              </w:rPr>
              <w:fldChar w:fldCharType="end"/>
            </w:r>
            <w:r w:rsidRPr="00BC1014">
              <w:rPr>
                <w:rFonts w:ascii="Century" w:hAnsi="Century"/>
                <w:lang w:val="tr-TR"/>
              </w:rPr>
              <w:noBreakHyphen/>
            </w:r>
            <w:r w:rsidRPr="00BC1014">
              <w:rPr>
                <w:rFonts w:ascii="Century" w:hAnsi="Century"/>
                <w:lang w:val="tr-TR"/>
              </w:rPr>
              <w:fldChar w:fldCharType="begin"/>
            </w:r>
            <w:r w:rsidRPr="00BC1014">
              <w:rPr>
                <w:rFonts w:ascii="Century" w:hAnsi="Century"/>
                <w:lang w:val="tr-TR"/>
              </w:rPr>
              <w:instrText xml:space="preserve"> SEQ Tablo \* ARABIC \s 2 </w:instrText>
            </w:r>
            <w:r w:rsidRPr="00BC1014">
              <w:rPr>
                <w:rFonts w:ascii="Century" w:hAnsi="Century"/>
                <w:lang w:val="tr-TR"/>
              </w:rPr>
              <w:fldChar w:fldCharType="separate"/>
            </w:r>
            <w:r w:rsidR="00DA718E">
              <w:rPr>
                <w:rFonts w:ascii="Century" w:hAnsi="Century"/>
                <w:noProof/>
                <w:lang w:val="tr-TR"/>
              </w:rPr>
              <w:t>17</w:t>
            </w:r>
            <w:r w:rsidRPr="00BC1014">
              <w:rPr>
                <w:rFonts w:ascii="Century" w:hAnsi="Century"/>
                <w:lang w:val="tr-TR"/>
              </w:rPr>
              <w:fldChar w:fldCharType="end"/>
            </w:r>
            <w:r w:rsidRPr="00BC1014">
              <w:rPr>
                <w:rFonts w:ascii="Century" w:hAnsi="Century"/>
                <w:lang w:val="tr-TR"/>
              </w:rPr>
              <w:t xml:space="preserve">; </w:t>
            </w:r>
            <w:r w:rsidR="009770F5" w:rsidRPr="00BC1014">
              <w:rPr>
                <w:rFonts w:ascii="Century" w:hAnsi="Century"/>
                <w:lang w:val="tr-TR"/>
              </w:rPr>
              <w:t xml:space="preserve">Hayat Branşı </w:t>
            </w:r>
            <w:r w:rsidRPr="00BC1014">
              <w:rPr>
                <w:rFonts w:ascii="Century" w:hAnsi="Century"/>
                <w:bCs w:val="0"/>
                <w:lang w:val="tr-TR"/>
              </w:rPr>
              <w:t>Direkt Primin</w:t>
            </w:r>
            <w:r w:rsidR="009770F5" w:rsidRPr="00BC1014">
              <w:rPr>
                <w:rFonts w:ascii="Century" w:hAnsi="Century"/>
                <w:bCs w:val="0"/>
                <w:lang w:val="tr-TR"/>
              </w:rPr>
              <w:t>in</w:t>
            </w:r>
            <w:r w:rsidRPr="00BC1014">
              <w:rPr>
                <w:rFonts w:ascii="Century" w:hAnsi="Century"/>
                <w:bCs w:val="0"/>
                <w:lang w:val="tr-TR"/>
              </w:rPr>
              <w:t xml:space="preserve"> Teminat Bazında Dağ</w:t>
            </w:r>
            <w:r w:rsidR="009770F5" w:rsidRPr="00BC1014">
              <w:rPr>
                <w:rFonts w:ascii="Century" w:hAnsi="Century"/>
                <w:bCs w:val="0"/>
                <w:lang w:val="tr-TR"/>
              </w:rPr>
              <w:t>ılımı</w:t>
            </w:r>
            <w:r w:rsidRPr="00BC1014">
              <w:rPr>
                <w:rFonts w:ascii="Century" w:hAnsi="Century"/>
                <w:bCs w:val="0"/>
                <w:lang w:val="tr-TR"/>
              </w:rPr>
              <w:t xml:space="preserve">– </w:t>
            </w:r>
            <w:r w:rsidRPr="00BC1014">
              <w:rPr>
                <w:rFonts w:ascii="Century" w:hAnsi="Century"/>
                <w:b w:val="0"/>
                <w:bCs w:val="0"/>
                <w:i/>
                <w:lang w:val="tr-TR"/>
              </w:rPr>
              <w:t xml:space="preserve">Direct </w:t>
            </w:r>
            <w:r w:rsidRPr="00BC1014">
              <w:rPr>
                <w:rFonts w:ascii="Century" w:hAnsi="Century"/>
                <w:b w:val="0"/>
                <w:i/>
                <w:iCs/>
                <w:lang w:val="tr-TR"/>
              </w:rPr>
              <w:t>Premium as Covers</w:t>
            </w:r>
            <w:bookmarkEnd w:id="93"/>
          </w:p>
          <w:p w:rsidR="00D86152" w:rsidRPr="00BC1014" w:rsidRDefault="009770F5" w:rsidP="00D96FCE">
            <w:pPr>
              <w:jc w:val="center"/>
              <w:rPr>
                <w:rFonts w:ascii="Century" w:hAnsi="Century"/>
                <w:sz w:val="20"/>
                <w:szCs w:val="20"/>
                <w:lang w:val="tr-TR"/>
              </w:rPr>
            </w:pPr>
            <w:r w:rsidRPr="00BC1014">
              <w:rPr>
                <w:rFonts w:ascii="Century" w:hAnsi="Century"/>
                <w:sz w:val="20"/>
                <w:szCs w:val="20"/>
                <w:lang w:val="tr-TR"/>
              </w:rPr>
              <w:pict>
                <v:shape id="_x0000_i1070" type="#_x0000_t75" style="width:465.75pt;height:113.25pt">
                  <v:imagedata r:id="rId60" o:title=""/>
                </v:shape>
              </w:pict>
            </w:r>
          </w:p>
          <w:p w:rsidR="000447FE" w:rsidRPr="00BC1014" w:rsidRDefault="000447FE" w:rsidP="008D17FE">
            <w:pPr>
              <w:rPr>
                <w:rFonts w:ascii="Century" w:hAnsi="Century"/>
                <w:sz w:val="20"/>
                <w:szCs w:val="20"/>
                <w:lang w:val="tr-TR"/>
              </w:rPr>
            </w:pPr>
          </w:p>
          <w:p w:rsidR="00572E97" w:rsidRPr="00BC1014" w:rsidRDefault="00572E97" w:rsidP="008D17FE">
            <w:pPr>
              <w:rPr>
                <w:rFonts w:ascii="Century" w:hAnsi="Century"/>
                <w:sz w:val="20"/>
                <w:szCs w:val="20"/>
                <w:lang w:val="tr-TR"/>
              </w:rPr>
            </w:pPr>
          </w:p>
          <w:p w:rsidR="00572E97" w:rsidRPr="00BC1014" w:rsidRDefault="00572E97" w:rsidP="008D17FE">
            <w:pPr>
              <w:rPr>
                <w:rFonts w:ascii="Century" w:hAnsi="Century"/>
                <w:sz w:val="20"/>
                <w:szCs w:val="20"/>
                <w:lang w:val="tr-TR"/>
              </w:rPr>
            </w:pPr>
          </w:p>
        </w:tc>
      </w:tr>
      <w:tr w:rsidR="00D86152" w:rsidRPr="00367FA3">
        <w:tc>
          <w:tcPr>
            <w:tcW w:w="4815" w:type="dxa"/>
            <w:gridSpan w:val="2"/>
          </w:tcPr>
          <w:p w:rsidR="00084428" w:rsidRPr="00572E97" w:rsidRDefault="00084428" w:rsidP="008D17FE">
            <w:pPr>
              <w:jc w:val="both"/>
              <w:rPr>
                <w:rFonts w:ascii="Century" w:hAnsi="Century"/>
                <w:lang w:val="tr-TR"/>
              </w:rPr>
            </w:pPr>
            <w:r w:rsidRPr="00572E97">
              <w:rPr>
                <w:rFonts w:ascii="Century" w:hAnsi="Century"/>
                <w:lang w:val="tr-TR"/>
              </w:rPr>
              <w:t>Ödenen tazminatlara iliş</w:t>
            </w:r>
            <w:r w:rsidR="004205AD" w:rsidRPr="00572E97">
              <w:rPr>
                <w:rFonts w:ascii="Century" w:hAnsi="Century"/>
                <w:lang w:val="tr-TR"/>
              </w:rPr>
              <w:t>kin dağılım incelendiğinde</w:t>
            </w:r>
            <w:r w:rsidR="00572E97" w:rsidRPr="00572E97">
              <w:rPr>
                <w:rFonts w:ascii="Century" w:hAnsi="Century"/>
                <w:lang w:val="tr-TR"/>
              </w:rPr>
              <w:t>,</w:t>
            </w:r>
            <w:r w:rsidR="004205AD" w:rsidRPr="00572E97">
              <w:rPr>
                <w:rFonts w:ascii="Century" w:hAnsi="Century"/>
                <w:lang w:val="tr-TR"/>
              </w:rPr>
              <w:t xml:space="preserve"> tazminat ödemelerinde artış olduğu</w:t>
            </w:r>
            <w:r w:rsidRPr="00572E97">
              <w:rPr>
                <w:rFonts w:ascii="Century" w:hAnsi="Century"/>
                <w:lang w:val="tr-TR"/>
              </w:rPr>
              <w:t xml:space="preserve"> görülmektedir. </w:t>
            </w:r>
            <w:r w:rsidR="00D17F44" w:rsidRPr="00572E97">
              <w:rPr>
                <w:rFonts w:ascii="Century" w:hAnsi="Century"/>
                <w:lang w:val="tr-TR"/>
              </w:rPr>
              <w:t xml:space="preserve">Hayat portföyünden bireysel emeklilik sistemine aktarımlar, </w:t>
            </w:r>
            <w:r w:rsidRPr="00572E97">
              <w:rPr>
                <w:rFonts w:ascii="Century" w:hAnsi="Century"/>
                <w:lang w:val="tr-TR"/>
              </w:rPr>
              <w:t>2006 yılında özelli</w:t>
            </w:r>
            <w:r w:rsidR="00D17F44" w:rsidRPr="00572E97">
              <w:rPr>
                <w:rFonts w:ascii="Century" w:hAnsi="Century"/>
                <w:lang w:val="tr-TR"/>
              </w:rPr>
              <w:t xml:space="preserve">kle iştira ödemelerinde </w:t>
            </w:r>
            <w:r w:rsidRPr="00572E97">
              <w:rPr>
                <w:rFonts w:ascii="Century" w:hAnsi="Century"/>
                <w:lang w:val="tr-TR"/>
              </w:rPr>
              <w:t>yüksek artış</w:t>
            </w:r>
            <w:r w:rsidR="00D17F44" w:rsidRPr="00572E97">
              <w:rPr>
                <w:rFonts w:ascii="Century" w:hAnsi="Century"/>
                <w:lang w:val="tr-TR"/>
              </w:rPr>
              <w:t xml:space="preserve"> yaşanmasına neden olmuştur.</w:t>
            </w:r>
            <w:r w:rsidR="00874EEE" w:rsidRPr="00572E97">
              <w:rPr>
                <w:rFonts w:ascii="Century" w:hAnsi="Century"/>
                <w:lang w:val="tr-TR"/>
              </w:rPr>
              <w:t xml:space="preserve"> </w:t>
            </w:r>
            <w:r w:rsidR="00572E97" w:rsidRPr="00572E97">
              <w:rPr>
                <w:rFonts w:ascii="Century" w:hAnsi="Century"/>
                <w:lang w:val="tr-TR"/>
              </w:rPr>
              <w:t>2007 yılında da ödenen tazminatlar içerisindeki en büyük pay % 43 ile iştira ödemelerine ilişkindir.</w:t>
            </w:r>
            <w:r w:rsidR="00874EEE" w:rsidRPr="00572E97">
              <w:rPr>
                <w:rFonts w:ascii="Century" w:hAnsi="Century"/>
                <w:lang w:val="tr-TR"/>
              </w:rPr>
              <w:t xml:space="preserve"> </w:t>
            </w:r>
          </w:p>
          <w:p w:rsidR="00E9638A" w:rsidRDefault="00E9638A" w:rsidP="008D17FE">
            <w:pPr>
              <w:rPr>
                <w:rFonts w:ascii="Century" w:hAnsi="Century"/>
                <w:highlight w:val="yellow"/>
                <w:lang w:val="tr-TR"/>
              </w:rPr>
            </w:pPr>
          </w:p>
          <w:p w:rsidR="00572E97" w:rsidRDefault="00572E97" w:rsidP="008D17FE">
            <w:pPr>
              <w:rPr>
                <w:rFonts w:ascii="Century" w:hAnsi="Century"/>
                <w:highlight w:val="yellow"/>
                <w:lang w:val="tr-TR"/>
              </w:rPr>
            </w:pPr>
          </w:p>
          <w:p w:rsidR="00E45429" w:rsidRPr="00E45429" w:rsidRDefault="00E45429" w:rsidP="008D17FE">
            <w:pPr>
              <w:rPr>
                <w:rFonts w:ascii="Century" w:hAnsi="Century"/>
                <w:sz w:val="16"/>
                <w:szCs w:val="16"/>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A41A00" w:rsidRDefault="009F457C" w:rsidP="00D17F44">
            <w:pPr>
              <w:jc w:val="both"/>
              <w:rPr>
                <w:rFonts w:ascii="Century" w:hAnsi="Century"/>
                <w:color w:val="404040"/>
              </w:rPr>
            </w:pPr>
            <w:r w:rsidRPr="00A41A00">
              <w:rPr>
                <w:rFonts w:ascii="Century" w:hAnsi="Century"/>
                <w:color w:val="404040"/>
              </w:rPr>
              <w:t xml:space="preserve">In year 2007, there is an increase in </w:t>
            </w:r>
            <w:r w:rsidR="006572C5" w:rsidRPr="00A41A00">
              <w:rPr>
                <w:rFonts w:ascii="Century" w:hAnsi="Century"/>
                <w:color w:val="404040"/>
              </w:rPr>
              <w:t xml:space="preserve">paid losses. </w:t>
            </w:r>
            <w:r w:rsidR="00D17F44" w:rsidRPr="00A41A00">
              <w:rPr>
                <w:rFonts w:ascii="Century" w:hAnsi="Century"/>
                <w:color w:val="404040"/>
              </w:rPr>
              <w:t>It is seen that</w:t>
            </w:r>
            <w:r w:rsidR="0080151E" w:rsidRPr="00A41A00">
              <w:rPr>
                <w:rFonts w:ascii="Century" w:hAnsi="Century"/>
                <w:color w:val="404040"/>
              </w:rPr>
              <w:t xml:space="preserve"> the major claim is surrender with a portion of 43% in total paid losses in life branch.</w:t>
            </w:r>
            <w:r w:rsidR="005510B2" w:rsidRPr="00A41A00">
              <w:rPr>
                <w:rFonts w:ascii="Century" w:hAnsi="Century"/>
                <w:color w:val="404040"/>
              </w:rPr>
              <w:t xml:space="preserve"> </w:t>
            </w:r>
          </w:p>
          <w:p w:rsidR="00A41A00" w:rsidRPr="00A41A00" w:rsidRDefault="00A41A00" w:rsidP="00A41A00">
            <w:pPr>
              <w:rPr>
                <w:rFonts w:ascii="Century" w:hAnsi="Century"/>
              </w:rPr>
            </w:pPr>
          </w:p>
          <w:p w:rsidR="00A41A00" w:rsidRPr="00A41A00" w:rsidRDefault="00A41A00" w:rsidP="00A41A00">
            <w:pPr>
              <w:rPr>
                <w:rFonts w:ascii="Century" w:hAnsi="Century"/>
              </w:rPr>
            </w:pPr>
          </w:p>
          <w:p w:rsidR="00A41A00" w:rsidRDefault="00A41A00" w:rsidP="00A41A00">
            <w:pPr>
              <w:rPr>
                <w:rFonts w:ascii="Century" w:hAnsi="Century"/>
              </w:rPr>
            </w:pPr>
          </w:p>
          <w:p w:rsidR="00E573B5" w:rsidRPr="00A41A00" w:rsidRDefault="00A41A00" w:rsidP="00A41A00">
            <w:pPr>
              <w:tabs>
                <w:tab w:val="left" w:pos="1215"/>
              </w:tabs>
              <w:rPr>
                <w:rFonts w:ascii="Century" w:hAnsi="Century"/>
              </w:rPr>
            </w:pPr>
            <w:r>
              <w:rPr>
                <w:rFonts w:ascii="Century" w:hAnsi="Century"/>
              </w:rPr>
              <w:tab/>
            </w:r>
          </w:p>
        </w:tc>
      </w:tr>
      <w:tr w:rsidR="00D86152" w:rsidRPr="00367FA3">
        <w:tc>
          <w:tcPr>
            <w:tcW w:w="9855" w:type="dxa"/>
            <w:gridSpan w:val="5"/>
          </w:tcPr>
          <w:p w:rsidR="00084428" w:rsidRPr="003579AF" w:rsidRDefault="00084428" w:rsidP="00D96FCE">
            <w:pPr>
              <w:pStyle w:val="ResimYazs"/>
              <w:jc w:val="center"/>
              <w:rPr>
                <w:rFonts w:ascii="Century" w:hAnsi="Century"/>
                <w:b w:val="0"/>
                <w:lang w:val="tr-TR"/>
              </w:rPr>
            </w:pPr>
            <w:bookmarkStart w:id="94" w:name="_Toc170665553"/>
            <w:r w:rsidRPr="003579AF">
              <w:rPr>
                <w:rFonts w:ascii="Century" w:hAnsi="Century"/>
                <w:lang w:val="tr-TR"/>
              </w:rPr>
              <w:lastRenderedPageBreak/>
              <w:t xml:space="preserve">Tablo </w:t>
            </w:r>
            <w:r w:rsidRPr="003579AF">
              <w:rPr>
                <w:rFonts w:ascii="Century" w:hAnsi="Century"/>
                <w:lang w:val="tr-TR"/>
              </w:rPr>
              <w:fldChar w:fldCharType="begin"/>
            </w:r>
            <w:r w:rsidRPr="003579AF">
              <w:rPr>
                <w:rFonts w:ascii="Century" w:hAnsi="Century"/>
                <w:lang w:val="tr-TR"/>
              </w:rPr>
              <w:instrText xml:space="preserve"> STYLEREF 2 \s </w:instrText>
            </w:r>
            <w:r w:rsidRPr="003579AF">
              <w:rPr>
                <w:rFonts w:ascii="Century" w:hAnsi="Century"/>
                <w:lang w:val="tr-TR"/>
              </w:rPr>
              <w:fldChar w:fldCharType="separate"/>
            </w:r>
            <w:r w:rsidR="00DA718E">
              <w:rPr>
                <w:rFonts w:ascii="Century" w:hAnsi="Century"/>
                <w:noProof/>
                <w:lang w:val="tr-TR"/>
              </w:rPr>
              <w:t>1.4</w:t>
            </w:r>
            <w:r w:rsidRPr="003579AF">
              <w:rPr>
                <w:rFonts w:ascii="Century" w:hAnsi="Century"/>
                <w:lang w:val="tr-TR"/>
              </w:rPr>
              <w:fldChar w:fldCharType="end"/>
            </w:r>
            <w:r w:rsidRPr="003579AF">
              <w:rPr>
                <w:rFonts w:ascii="Century" w:hAnsi="Century"/>
                <w:lang w:val="tr-TR"/>
              </w:rPr>
              <w:noBreakHyphen/>
            </w:r>
            <w:r w:rsidRPr="003579AF">
              <w:rPr>
                <w:rFonts w:ascii="Century" w:hAnsi="Century"/>
                <w:lang w:val="tr-TR"/>
              </w:rPr>
              <w:fldChar w:fldCharType="begin"/>
            </w:r>
            <w:r w:rsidRPr="003579AF">
              <w:rPr>
                <w:rFonts w:ascii="Century" w:hAnsi="Century"/>
                <w:lang w:val="tr-TR"/>
              </w:rPr>
              <w:instrText xml:space="preserve"> SEQ Tablo \* ARABIC \s 2 </w:instrText>
            </w:r>
            <w:r w:rsidRPr="003579AF">
              <w:rPr>
                <w:rFonts w:ascii="Century" w:hAnsi="Century"/>
                <w:lang w:val="tr-TR"/>
              </w:rPr>
              <w:fldChar w:fldCharType="separate"/>
            </w:r>
            <w:r w:rsidR="00DA718E">
              <w:rPr>
                <w:rFonts w:ascii="Century" w:hAnsi="Century"/>
                <w:noProof/>
                <w:lang w:val="tr-TR"/>
              </w:rPr>
              <w:t>18</w:t>
            </w:r>
            <w:r w:rsidRPr="003579AF">
              <w:rPr>
                <w:rFonts w:ascii="Century" w:hAnsi="Century"/>
                <w:lang w:val="tr-TR"/>
              </w:rPr>
              <w:fldChar w:fldCharType="end"/>
            </w:r>
            <w:r w:rsidRPr="003579AF">
              <w:rPr>
                <w:rFonts w:ascii="Century" w:hAnsi="Century"/>
                <w:lang w:val="tr-TR"/>
              </w:rPr>
              <w:t xml:space="preserve">; </w:t>
            </w:r>
            <w:r w:rsidRPr="003579AF">
              <w:rPr>
                <w:rFonts w:ascii="Century" w:hAnsi="Century"/>
                <w:bCs w:val="0"/>
                <w:lang w:val="tr-TR"/>
              </w:rPr>
              <w:t xml:space="preserve">Ödenen Tazminatların Dağılımı - </w:t>
            </w:r>
            <w:r w:rsidRPr="003579AF">
              <w:rPr>
                <w:rFonts w:ascii="Century" w:hAnsi="Century"/>
                <w:b w:val="0"/>
                <w:i/>
                <w:iCs/>
                <w:lang w:val="tr-TR"/>
              </w:rPr>
              <w:t>Distribution of Paid Loss</w:t>
            </w:r>
            <w:bookmarkEnd w:id="94"/>
          </w:p>
          <w:p w:rsidR="002C7AC1" w:rsidRPr="00572E97" w:rsidRDefault="00572E97" w:rsidP="00D96FCE">
            <w:pPr>
              <w:jc w:val="center"/>
              <w:rPr>
                <w:rFonts w:ascii="Century" w:hAnsi="Century"/>
                <w:highlight w:val="yellow"/>
                <w:lang w:val="tr-TR"/>
              </w:rPr>
            </w:pPr>
            <w:r w:rsidRPr="00572E97">
              <w:rPr>
                <w:rFonts w:ascii="Century" w:hAnsi="Century"/>
                <w:lang w:val="tr-TR"/>
              </w:rPr>
              <w:pict>
                <v:shape id="_x0000_i1071" type="#_x0000_t75" style="width:481.5pt;height:134.25pt">
                  <v:imagedata r:id="rId61" o:title=""/>
                </v:shape>
              </w:pict>
            </w:r>
          </w:p>
        </w:tc>
      </w:tr>
      <w:tr w:rsidR="00D86152" w:rsidRPr="00367FA3">
        <w:tc>
          <w:tcPr>
            <w:tcW w:w="4815" w:type="dxa"/>
            <w:gridSpan w:val="2"/>
          </w:tcPr>
          <w:p w:rsidR="000355EE" w:rsidRPr="00BC1014" w:rsidRDefault="000355EE" w:rsidP="008D17FE">
            <w:pPr>
              <w:jc w:val="both"/>
              <w:rPr>
                <w:rFonts w:ascii="Century" w:hAnsi="Century"/>
                <w:lang w:val="tr-TR"/>
              </w:rPr>
            </w:pPr>
          </w:p>
          <w:p w:rsidR="00084428" w:rsidRPr="00BC1014" w:rsidRDefault="00037DD0" w:rsidP="008D17FE">
            <w:pPr>
              <w:jc w:val="both"/>
              <w:rPr>
                <w:rFonts w:ascii="Century" w:hAnsi="Century"/>
                <w:lang w:val="tr-TR"/>
              </w:rPr>
            </w:pPr>
            <w:r w:rsidRPr="00BC1014">
              <w:rPr>
                <w:rFonts w:ascii="Century" w:hAnsi="Century"/>
                <w:lang w:val="tr-TR"/>
              </w:rPr>
              <w:t xml:space="preserve">Aşağıdaki tabloda </w:t>
            </w:r>
            <w:r w:rsidR="00B7156B" w:rsidRPr="00BC1014">
              <w:rPr>
                <w:rFonts w:ascii="Century" w:hAnsi="Century"/>
                <w:lang w:val="tr-TR"/>
              </w:rPr>
              <w:t>teminat adetleri ve ortalama teminat verilmiştir</w:t>
            </w:r>
            <w:r w:rsidRPr="00BC1014">
              <w:rPr>
                <w:rFonts w:ascii="Century" w:hAnsi="Century"/>
                <w:lang w:val="tr-TR"/>
              </w:rPr>
              <w:t xml:space="preserve">. 2007 yılında </w:t>
            </w:r>
            <w:r w:rsidR="0027629C" w:rsidRPr="00BC1014">
              <w:rPr>
                <w:rFonts w:ascii="Century" w:hAnsi="Century"/>
                <w:lang w:val="tr-TR"/>
              </w:rPr>
              <w:t>teminat adetlerinde ve ortalama teminat tutarlarında hemen hemen aynı oranda artış görülmektedir.</w:t>
            </w:r>
          </w:p>
          <w:p w:rsidR="000355EE" w:rsidRPr="00BC1014" w:rsidRDefault="000355EE" w:rsidP="008D17FE">
            <w:pPr>
              <w:rPr>
                <w:rFonts w:ascii="Century" w:hAnsi="Century"/>
                <w:lang w:val="tr-TR"/>
              </w:rPr>
            </w:pPr>
          </w:p>
        </w:tc>
        <w:tc>
          <w:tcPr>
            <w:tcW w:w="236" w:type="dxa"/>
            <w:gridSpan w:val="2"/>
          </w:tcPr>
          <w:p w:rsidR="00D86152" w:rsidRPr="00BC1014" w:rsidRDefault="00D86152" w:rsidP="008D17FE">
            <w:pPr>
              <w:rPr>
                <w:rFonts w:ascii="Century" w:hAnsi="Century"/>
                <w:lang w:val="tr-TR"/>
              </w:rPr>
            </w:pPr>
          </w:p>
        </w:tc>
        <w:tc>
          <w:tcPr>
            <w:tcW w:w="4804" w:type="dxa"/>
          </w:tcPr>
          <w:p w:rsidR="00D86152" w:rsidRPr="00BC1014" w:rsidRDefault="00D86152" w:rsidP="008D17FE">
            <w:pPr>
              <w:rPr>
                <w:rFonts w:ascii="Century" w:hAnsi="Century"/>
                <w:color w:val="595959"/>
                <w:lang w:val="tr-TR"/>
              </w:rPr>
            </w:pPr>
          </w:p>
          <w:p w:rsidR="006B5D18" w:rsidRPr="00A41A00" w:rsidRDefault="00B7156B" w:rsidP="006B5D18">
            <w:pPr>
              <w:jc w:val="both"/>
              <w:rPr>
                <w:rFonts w:ascii="Century" w:hAnsi="Century"/>
                <w:color w:val="404040"/>
              </w:rPr>
            </w:pPr>
            <w:r w:rsidRPr="00A41A00">
              <w:rPr>
                <w:rFonts w:ascii="Century" w:hAnsi="Century"/>
                <w:color w:val="404040"/>
              </w:rPr>
              <w:t xml:space="preserve">In the table below (1.4.19), number of covers and average cover is given. </w:t>
            </w:r>
            <w:r w:rsidR="006B5D18" w:rsidRPr="00A41A00">
              <w:rPr>
                <w:rFonts w:ascii="Century" w:hAnsi="Century"/>
                <w:color w:val="404040"/>
              </w:rPr>
              <w:t xml:space="preserve">It is observed that there is </w:t>
            </w:r>
            <w:r w:rsidR="0027629C" w:rsidRPr="00A41A00">
              <w:rPr>
                <w:rFonts w:ascii="Century" w:hAnsi="Century"/>
                <w:color w:val="404040"/>
              </w:rPr>
              <w:t>almost same increase in number of covers and average cover.</w:t>
            </w:r>
          </w:p>
          <w:p w:rsidR="006B5D18" w:rsidRPr="00BC1014" w:rsidRDefault="006B5D18" w:rsidP="008D17FE">
            <w:pPr>
              <w:rPr>
                <w:rFonts w:ascii="Century" w:hAnsi="Century"/>
                <w:color w:val="595959"/>
                <w:lang w:val="tr-TR"/>
              </w:rPr>
            </w:pPr>
          </w:p>
        </w:tc>
      </w:tr>
      <w:tr w:rsidR="00D86152" w:rsidRPr="00367FA3">
        <w:tc>
          <w:tcPr>
            <w:tcW w:w="9855" w:type="dxa"/>
            <w:gridSpan w:val="5"/>
          </w:tcPr>
          <w:p w:rsidR="00084428" w:rsidRPr="00A34B9B" w:rsidRDefault="00084428" w:rsidP="00D96FCE">
            <w:pPr>
              <w:pStyle w:val="ResimYazs"/>
              <w:jc w:val="center"/>
              <w:rPr>
                <w:rFonts w:ascii="Century" w:hAnsi="Century"/>
                <w:lang w:val="tr-TR"/>
              </w:rPr>
            </w:pPr>
            <w:bookmarkStart w:id="95" w:name="_Toc170665554"/>
            <w:r w:rsidRPr="00A34B9B">
              <w:rPr>
                <w:rFonts w:ascii="Century" w:hAnsi="Century"/>
                <w:lang w:val="tr-TR"/>
              </w:rPr>
              <w:t xml:space="preserve">Tablo </w:t>
            </w:r>
            <w:r w:rsidRPr="00A34B9B">
              <w:rPr>
                <w:rFonts w:ascii="Century" w:hAnsi="Century"/>
                <w:lang w:val="tr-TR"/>
              </w:rPr>
              <w:fldChar w:fldCharType="begin"/>
            </w:r>
            <w:r w:rsidRPr="00A34B9B">
              <w:rPr>
                <w:rFonts w:ascii="Century" w:hAnsi="Century"/>
                <w:lang w:val="tr-TR"/>
              </w:rPr>
              <w:instrText xml:space="preserve"> STYLEREF 2 \s </w:instrText>
            </w:r>
            <w:r w:rsidRPr="00A34B9B">
              <w:rPr>
                <w:rFonts w:ascii="Century" w:hAnsi="Century"/>
                <w:lang w:val="tr-TR"/>
              </w:rPr>
              <w:fldChar w:fldCharType="separate"/>
            </w:r>
            <w:r w:rsidR="00DA718E">
              <w:rPr>
                <w:rFonts w:ascii="Century" w:hAnsi="Century"/>
                <w:noProof/>
                <w:lang w:val="tr-TR"/>
              </w:rPr>
              <w:t>1.4</w:t>
            </w:r>
            <w:r w:rsidRPr="00A34B9B">
              <w:rPr>
                <w:rFonts w:ascii="Century" w:hAnsi="Century"/>
                <w:lang w:val="tr-TR"/>
              </w:rPr>
              <w:fldChar w:fldCharType="end"/>
            </w:r>
            <w:r w:rsidRPr="00A34B9B">
              <w:rPr>
                <w:rFonts w:ascii="Century" w:hAnsi="Century"/>
                <w:lang w:val="tr-TR"/>
              </w:rPr>
              <w:noBreakHyphen/>
            </w:r>
            <w:r w:rsidRPr="00A34B9B">
              <w:rPr>
                <w:rFonts w:ascii="Century" w:hAnsi="Century"/>
                <w:lang w:val="tr-TR"/>
              </w:rPr>
              <w:fldChar w:fldCharType="begin"/>
            </w:r>
            <w:r w:rsidRPr="00A34B9B">
              <w:rPr>
                <w:rFonts w:ascii="Century" w:hAnsi="Century"/>
                <w:lang w:val="tr-TR"/>
              </w:rPr>
              <w:instrText xml:space="preserve"> SEQ Tablo \* ARABIC \s 2 </w:instrText>
            </w:r>
            <w:r w:rsidRPr="00A34B9B">
              <w:rPr>
                <w:rFonts w:ascii="Century" w:hAnsi="Century"/>
                <w:lang w:val="tr-TR"/>
              </w:rPr>
              <w:fldChar w:fldCharType="separate"/>
            </w:r>
            <w:r w:rsidR="00DA718E">
              <w:rPr>
                <w:rFonts w:ascii="Century" w:hAnsi="Century"/>
                <w:noProof/>
                <w:lang w:val="tr-TR"/>
              </w:rPr>
              <w:t>19</w:t>
            </w:r>
            <w:r w:rsidRPr="00A34B9B">
              <w:rPr>
                <w:rFonts w:ascii="Century" w:hAnsi="Century"/>
                <w:lang w:val="tr-TR"/>
              </w:rPr>
              <w:fldChar w:fldCharType="end"/>
            </w:r>
            <w:r w:rsidRPr="00A34B9B">
              <w:rPr>
                <w:rFonts w:ascii="Century" w:hAnsi="Century"/>
                <w:lang w:val="tr-TR"/>
              </w:rPr>
              <w:t xml:space="preserve">; </w:t>
            </w:r>
            <w:r w:rsidR="00A34B9B">
              <w:rPr>
                <w:rFonts w:ascii="Century" w:hAnsi="Century"/>
                <w:lang w:val="tr-TR"/>
              </w:rPr>
              <w:t xml:space="preserve">Kişi Başı </w:t>
            </w:r>
            <w:r w:rsidRPr="00A34B9B">
              <w:rPr>
                <w:rFonts w:ascii="Century" w:hAnsi="Century"/>
                <w:bCs w:val="0"/>
                <w:lang w:val="tr-TR"/>
              </w:rPr>
              <w:t xml:space="preserve">Ortalama </w:t>
            </w:r>
            <w:r w:rsidR="00A34B9B">
              <w:rPr>
                <w:rFonts w:ascii="Century" w:hAnsi="Century"/>
                <w:bCs w:val="0"/>
                <w:lang w:val="tr-TR"/>
              </w:rPr>
              <w:t>Teminat</w:t>
            </w:r>
            <w:r w:rsidRPr="00A34B9B">
              <w:rPr>
                <w:rFonts w:ascii="Century" w:hAnsi="Century"/>
                <w:bCs w:val="0"/>
                <w:lang w:val="tr-TR"/>
              </w:rPr>
              <w:t xml:space="preserve"> - </w:t>
            </w:r>
            <w:r w:rsidRPr="00A34B9B">
              <w:rPr>
                <w:rFonts w:ascii="Century" w:hAnsi="Century"/>
                <w:b w:val="0"/>
                <w:i/>
                <w:iCs/>
                <w:lang w:val="tr-TR"/>
              </w:rPr>
              <w:t xml:space="preserve">Average </w:t>
            </w:r>
            <w:r w:rsidR="00A34B9B">
              <w:rPr>
                <w:rFonts w:ascii="Century" w:hAnsi="Century"/>
                <w:b w:val="0"/>
                <w:i/>
                <w:iCs/>
                <w:lang w:val="tr-TR"/>
              </w:rPr>
              <w:t>Cover Per Person</w:t>
            </w:r>
            <w:bookmarkEnd w:id="95"/>
          </w:p>
          <w:p w:rsidR="00D86152" w:rsidRPr="005D5DA8" w:rsidRDefault="005D5DA8" w:rsidP="00D96FCE">
            <w:pPr>
              <w:jc w:val="center"/>
              <w:rPr>
                <w:rFonts w:ascii="Century" w:hAnsi="Century"/>
                <w:highlight w:val="yellow"/>
                <w:lang w:val="tr-TR"/>
              </w:rPr>
            </w:pPr>
            <w:r w:rsidRPr="005D5DA8">
              <w:rPr>
                <w:rFonts w:ascii="Century" w:hAnsi="Century"/>
                <w:lang w:val="tr-TR"/>
              </w:rPr>
              <w:pict>
                <v:shape id="_x0000_i1072" type="#_x0000_t75" style="width:367.5pt;height:50.25pt">
                  <v:imagedata r:id="rId62" o:title=""/>
                </v:shape>
              </w:pict>
            </w:r>
          </w:p>
          <w:p w:rsidR="000355EE" w:rsidRPr="00367FA3" w:rsidRDefault="000355EE" w:rsidP="008D17FE">
            <w:pPr>
              <w:rPr>
                <w:rFonts w:ascii="Century" w:hAnsi="Century"/>
                <w:highlight w:val="yellow"/>
                <w:lang w:val="tr-TR"/>
              </w:rPr>
            </w:pPr>
          </w:p>
          <w:p w:rsidR="00DC5DF8" w:rsidRPr="00367FA3" w:rsidRDefault="00DC5DF8" w:rsidP="008D17FE">
            <w:pPr>
              <w:rPr>
                <w:rFonts w:ascii="Century" w:hAnsi="Century"/>
                <w:highlight w:val="yellow"/>
                <w:lang w:val="tr-TR"/>
              </w:rPr>
            </w:pPr>
          </w:p>
        </w:tc>
      </w:tr>
      <w:tr w:rsidR="00D86152" w:rsidRPr="00367FA3">
        <w:tc>
          <w:tcPr>
            <w:tcW w:w="4815" w:type="dxa"/>
            <w:gridSpan w:val="2"/>
          </w:tcPr>
          <w:p w:rsidR="00084428" w:rsidRPr="000863BE" w:rsidRDefault="003F3D2E" w:rsidP="00891E9E">
            <w:pPr>
              <w:pStyle w:val="Balk2"/>
              <w:keepNext w:val="0"/>
              <w:numPr>
                <w:ilvl w:val="0"/>
                <w:numId w:val="0"/>
              </w:numPr>
              <w:spacing w:before="0" w:after="0"/>
              <w:ind w:left="432" w:hanging="432"/>
              <w:jc w:val="both"/>
              <w:rPr>
                <w:rFonts w:ascii="Century" w:hAnsi="Century"/>
                <w:i w:val="0"/>
                <w:sz w:val="24"/>
                <w:szCs w:val="24"/>
                <w:lang w:val="tr-TR"/>
              </w:rPr>
            </w:pPr>
            <w:bookmarkStart w:id="96" w:name="_Toc170253092"/>
            <w:bookmarkStart w:id="97" w:name="_Toc198287707"/>
            <w:bookmarkStart w:id="98" w:name="_Toc199251254"/>
            <w:r w:rsidRPr="000863BE">
              <w:rPr>
                <w:rFonts w:ascii="Century" w:hAnsi="Century"/>
                <w:i w:val="0"/>
                <w:sz w:val="24"/>
                <w:szCs w:val="24"/>
                <w:lang w:val="tr-TR"/>
              </w:rPr>
              <w:t xml:space="preserve">1.5. </w:t>
            </w:r>
            <w:r w:rsidR="00084428" w:rsidRPr="000863BE">
              <w:rPr>
                <w:rFonts w:ascii="Century" w:hAnsi="Century"/>
                <w:i w:val="0"/>
                <w:sz w:val="24"/>
                <w:szCs w:val="24"/>
                <w:lang w:val="tr-TR"/>
              </w:rPr>
              <w:t>Sigorta Branşları İtibariyle Değerlendirme</w:t>
            </w:r>
            <w:bookmarkEnd w:id="96"/>
            <w:bookmarkEnd w:id="97"/>
            <w:bookmarkEnd w:id="98"/>
          </w:p>
          <w:p w:rsidR="00E45429" w:rsidRPr="000863BE" w:rsidRDefault="00E45429" w:rsidP="003F3D2E">
            <w:pPr>
              <w:rPr>
                <w:lang w:val="tr-TR"/>
              </w:rPr>
            </w:pPr>
          </w:p>
          <w:p w:rsidR="00084428" w:rsidRPr="000863BE" w:rsidRDefault="003F3D2E" w:rsidP="003F3D2E">
            <w:pPr>
              <w:pStyle w:val="Balk3"/>
              <w:numPr>
                <w:ilvl w:val="0"/>
                <w:numId w:val="0"/>
              </w:numPr>
              <w:spacing w:before="0" w:after="0"/>
              <w:rPr>
                <w:rFonts w:ascii="Century" w:hAnsi="Century"/>
                <w:sz w:val="24"/>
                <w:szCs w:val="24"/>
                <w:lang w:val="tr-TR"/>
              </w:rPr>
            </w:pPr>
            <w:bookmarkStart w:id="99" w:name="_Toc170253093"/>
            <w:bookmarkStart w:id="100" w:name="_Toc198287708"/>
            <w:bookmarkStart w:id="101" w:name="_Toc199251255"/>
            <w:r w:rsidRPr="000863BE">
              <w:rPr>
                <w:rFonts w:ascii="Century" w:hAnsi="Century"/>
                <w:sz w:val="24"/>
                <w:szCs w:val="24"/>
                <w:lang w:val="tr-TR"/>
              </w:rPr>
              <w:t xml:space="preserve">1.5.1. </w:t>
            </w:r>
            <w:r w:rsidR="00084428" w:rsidRPr="000863BE">
              <w:rPr>
                <w:rFonts w:ascii="Century" w:hAnsi="Century"/>
                <w:sz w:val="24"/>
                <w:szCs w:val="24"/>
                <w:lang w:val="tr-TR"/>
              </w:rPr>
              <w:t>Branş Bazında Yapısal Göstergeler</w:t>
            </w:r>
            <w:bookmarkEnd w:id="99"/>
            <w:bookmarkEnd w:id="100"/>
            <w:bookmarkEnd w:id="101"/>
          </w:p>
          <w:p w:rsidR="00084428" w:rsidRPr="00367FA3" w:rsidRDefault="00084428" w:rsidP="008D17FE">
            <w:pPr>
              <w:jc w:val="both"/>
              <w:rPr>
                <w:rFonts w:ascii="Century" w:hAnsi="Century"/>
                <w:highlight w:val="yellow"/>
                <w:lang w:val="tr-TR"/>
              </w:rPr>
            </w:pPr>
          </w:p>
          <w:p w:rsidR="003F3D2E" w:rsidRPr="000863BE" w:rsidRDefault="003F3D2E" w:rsidP="008D17FE">
            <w:pPr>
              <w:jc w:val="both"/>
              <w:rPr>
                <w:rFonts w:ascii="Century" w:hAnsi="Century"/>
                <w:lang w:val="tr-TR"/>
              </w:rPr>
            </w:pPr>
          </w:p>
          <w:p w:rsidR="001D6CF5" w:rsidRPr="000863BE" w:rsidRDefault="000863BE" w:rsidP="008D17FE">
            <w:pPr>
              <w:jc w:val="both"/>
              <w:rPr>
                <w:rFonts w:ascii="Century" w:hAnsi="Century"/>
                <w:lang w:val="tr-TR"/>
              </w:rPr>
            </w:pPr>
            <w:r>
              <w:rPr>
                <w:rFonts w:ascii="Century" w:hAnsi="Century"/>
                <w:lang w:val="tr-TR"/>
              </w:rPr>
              <w:t xml:space="preserve">Dünya sigortacılığına paralel olarak, </w:t>
            </w:r>
            <w:r w:rsidR="00084428" w:rsidRPr="000863BE">
              <w:rPr>
                <w:rFonts w:ascii="Century" w:hAnsi="Century"/>
                <w:lang w:val="tr-TR"/>
              </w:rPr>
              <w:t>Türk sigorta</w:t>
            </w:r>
            <w:r w:rsidR="001D6CF5" w:rsidRPr="000863BE">
              <w:rPr>
                <w:rFonts w:ascii="Century" w:hAnsi="Century"/>
                <w:lang w:val="tr-TR"/>
              </w:rPr>
              <w:t xml:space="preserve">cılık mevzuatına göre </w:t>
            </w:r>
            <w:r>
              <w:rPr>
                <w:rFonts w:ascii="Century" w:hAnsi="Century"/>
                <w:lang w:val="tr-TR"/>
              </w:rPr>
              <w:t xml:space="preserve">de </w:t>
            </w:r>
            <w:r w:rsidR="001D6CF5" w:rsidRPr="000863BE">
              <w:rPr>
                <w:rFonts w:ascii="Century" w:hAnsi="Century"/>
                <w:lang w:val="tr-TR"/>
              </w:rPr>
              <w:t>sigortacılık faaliyet</w:t>
            </w:r>
            <w:r>
              <w:rPr>
                <w:rFonts w:ascii="Century" w:hAnsi="Century"/>
                <w:lang w:val="tr-TR"/>
              </w:rPr>
              <w:t>ler</w:t>
            </w:r>
            <w:r w:rsidR="001D6CF5" w:rsidRPr="000863BE">
              <w:rPr>
                <w:rFonts w:ascii="Century" w:hAnsi="Century"/>
                <w:lang w:val="tr-TR"/>
              </w:rPr>
              <w:t>i hayat ve hayat dışı olmak üzere iki ana gruba ayrılmakta</w:t>
            </w:r>
            <w:r w:rsidRPr="000863BE">
              <w:rPr>
                <w:rFonts w:ascii="Century" w:hAnsi="Century"/>
                <w:lang w:val="tr-TR"/>
              </w:rPr>
              <w:t>dır. Mülga 7397 sayılı Sigorta Murakabe Kanunu’na göre</w:t>
            </w:r>
            <w:r w:rsidR="00084428" w:rsidRPr="000863BE">
              <w:rPr>
                <w:rFonts w:ascii="Century" w:hAnsi="Century"/>
                <w:lang w:val="tr-TR"/>
              </w:rPr>
              <w:t xml:space="preserve"> hayat dışı sigortalar</w:t>
            </w:r>
            <w:r w:rsidR="00891E9E" w:rsidRPr="000863BE">
              <w:rPr>
                <w:rFonts w:ascii="Century" w:hAnsi="Century"/>
                <w:lang w:val="tr-TR"/>
              </w:rPr>
              <w:t xml:space="preserve"> </w:t>
            </w:r>
            <w:r w:rsidR="00084428" w:rsidRPr="000863BE">
              <w:rPr>
                <w:rFonts w:ascii="Century" w:hAnsi="Century"/>
                <w:lang w:val="tr-TR"/>
              </w:rPr>
              <w:t xml:space="preserve">10 </w:t>
            </w:r>
            <w:r w:rsidR="00891E9E" w:rsidRPr="000863BE">
              <w:rPr>
                <w:rFonts w:ascii="Century" w:hAnsi="Century"/>
                <w:lang w:val="tr-TR"/>
              </w:rPr>
              <w:t>alt branştan oluşmakta</w:t>
            </w:r>
            <w:r w:rsidRPr="000863BE">
              <w:rPr>
                <w:rFonts w:ascii="Century" w:hAnsi="Century"/>
                <w:lang w:val="tr-TR"/>
              </w:rPr>
              <w:t xml:space="preserve"> idi. 5684 sayılı yeni Sigortacılık Kanunu</w:t>
            </w:r>
            <w:r>
              <w:rPr>
                <w:rFonts w:ascii="Century" w:hAnsi="Century"/>
                <w:lang w:val="tr-TR"/>
              </w:rPr>
              <w:t xml:space="preserve"> ile </w:t>
            </w:r>
            <w:r w:rsidRPr="000863BE">
              <w:rPr>
                <w:rFonts w:ascii="Century" w:hAnsi="Century"/>
                <w:lang w:val="tr-TR"/>
              </w:rPr>
              <w:t xml:space="preserve">alt branşlar yeniden belirlenmiştir. Ancak, hayat dışı sigortalar için 18, hayat sigortaları için ise </w:t>
            </w:r>
            <w:r w:rsidR="005D67B5">
              <w:rPr>
                <w:rFonts w:ascii="Century" w:hAnsi="Century"/>
                <w:lang w:val="tr-TR"/>
              </w:rPr>
              <w:t>7</w:t>
            </w:r>
            <w:r w:rsidRPr="000863BE">
              <w:rPr>
                <w:rFonts w:ascii="Century" w:hAnsi="Century"/>
                <w:lang w:val="tr-TR"/>
              </w:rPr>
              <w:t xml:space="preserve"> alt branş olarak belirlenen yeni sistemin uygulanmasına 01.01.2008 tarihinden itibaren başlandığından</w:t>
            </w:r>
            <w:r>
              <w:rPr>
                <w:rFonts w:ascii="Century" w:hAnsi="Century"/>
                <w:lang w:val="tr-TR"/>
              </w:rPr>
              <w:t>,</w:t>
            </w:r>
            <w:r w:rsidRPr="000863BE">
              <w:rPr>
                <w:rFonts w:ascii="Century" w:hAnsi="Century"/>
                <w:lang w:val="tr-TR"/>
              </w:rPr>
              <w:t xml:space="preserve"> bu Rapor’da branşlara ilişkin veriler eski uygulama biçimiyle </w:t>
            </w:r>
            <w:r w:rsidR="00084428" w:rsidRPr="000863BE">
              <w:rPr>
                <w:rFonts w:ascii="Century" w:hAnsi="Century"/>
                <w:lang w:val="tr-TR"/>
              </w:rPr>
              <w:t xml:space="preserve"> </w:t>
            </w:r>
            <w:r w:rsidRPr="000863BE">
              <w:rPr>
                <w:rFonts w:ascii="Century" w:hAnsi="Century"/>
                <w:lang w:val="tr-TR"/>
              </w:rPr>
              <w:t>verilmiştir.</w:t>
            </w:r>
          </w:p>
          <w:p w:rsidR="001D6CF5" w:rsidRDefault="001D6CF5" w:rsidP="008D17FE">
            <w:pPr>
              <w:jc w:val="both"/>
              <w:rPr>
                <w:rFonts w:ascii="Century" w:hAnsi="Century"/>
                <w:lang w:val="tr-TR"/>
              </w:rPr>
            </w:pPr>
          </w:p>
          <w:p w:rsidR="0068596E" w:rsidRDefault="0068596E" w:rsidP="008D17FE">
            <w:pPr>
              <w:jc w:val="both"/>
              <w:rPr>
                <w:rFonts w:ascii="Century" w:hAnsi="Century"/>
                <w:lang w:val="tr-TR"/>
              </w:rPr>
            </w:pPr>
          </w:p>
          <w:p w:rsidR="001D6CF5" w:rsidRPr="005D67B5" w:rsidRDefault="00084428" w:rsidP="008D17FE">
            <w:pPr>
              <w:jc w:val="both"/>
              <w:rPr>
                <w:rFonts w:ascii="Century" w:hAnsi="Century"/>
                <w:lang w:val="tr-TR"/>
              </w:rPr>
            </w:pPr>
            <w:r w:rsidRPr="005D67B5">
              <w:rPr>
                <w:rFonts w:ascii="Century" w:hAnsi="Century"/>
                <w:lang w:val="tr-TR"/>
              </w:rPr>
              <w:lastRenderedPageBreak/>
              <w:t>Mevzuat gereği sigorta şirketleri 199</w:t>
            </w:r>
            <w:r w:rsidR="001D6CF5" w:rsidRPr="005D67B5">
              <w:rPr>
                <w:rFonts w:ascii="Century" w:hAnsi="Century"/>
                <w:lang w:val="tr-TR"/>
              </w:rPr>
              <w:t>8</w:t>
            </w:r>
            <w:r w:rsidRPr="005D67B5">
              <w:rPr>
                <w:rFonts w:ascii="Century" w:hAnsi="Century"/>
                <w:lang w:val="tr-TR"/>
              </w:rPr>
              <w:t xml:space="preserve"> yılı</w:t>
            </w:r>
            <w:r w:rsidR="001D6CF5" w:rsidRPr="005D67B5">
              <w:rPr>
                <w:rFonts w:ascii="Century" w:hAnsi="Century"/>
                <w:lang w:val="tr-TR"/>
              </w:rPr>
              <w:t>ndan</w:t>
            </w:r>
            <w:r w:rsidRPr="005D67B5">
              <w:rPr>
                <w:rFonts w:ascii="Century" w:hAnsi="Century"/>
                <w:lang w:val="tr-TR"/>
              </w:rPr>
              <w:t xml:space="preserve"> itibaren hayat ya da hayat dışı sigorta gruplarından </w:t>
            </w:r>
            <w:r w:rsidR="00891E9E" w:rsidRPr="005D67B5">
              <w:rPr>
                <w:rFonts w:ascii="Century" w:hAnsi="Century"/>
                <w:lang w:val="tr-TR"/>
              </w:rPr>
              <w:t xml:space="preserve">sadece </w:t>
            </w:r>
            <w:r w:rsidRPr="005D67B5">
              <w:rPr>
                <w:rFonts w:ascii="Century" w:hAnsi="Century"/>
                <w:lang w:val="tr-TR"/>
              </w:rPr>
              <w:t>birinde faaliyette bulun</w:t>
            </w:r>
            <w:r w:rsidR="00891E9E" w:rsidRPr="005D67B5">
              <w:rPr>
                <w:rFonts w:ascii="Century" w:hAnsi="Century"/>
                <w:lang w:val="tr-TR"/>
              </w:rPr>
              <w:t xml:space="preserve">abilmektedirler. </w:t>
            </w:r>
            <w:r w:rsidR="00B3298E">
              <w:rPr>
                <w:rFonts w:ascii="Century" w:hAnsi="Century"/>
                <w:lang w:val="tr-TR"/>
              </w:rPr>
              <w:t>Ancak, 6</w:t>
            </w:r>
            <w:r w:rsidRPr="005D67B5">
              <w:rPr>
                <w:rFonts w:ascii="Century" w:hAnsi="Century"/>
                <w:lang w:val="tr-TR"/>
              </w:rPr>
              <w:t xml:space="preserve"> hayat dışı sigorta şirketi</w:t>
            </w:r>
            <w:r w:rsidR="00891E9E" w:rsidRPr="005D67B5">
              <w:rPr>
                <w:rFonts w:ascii="Century" w:hAnsi="Century"/>
                <w:lang w:val="tr-TR"/>
              </w:rPr>
              <w:t>, yeni sözleşme akdetmeksizin, anılan tarih itibariyle mevcut hayat sigortalarına ilişkin portföylerini devam ettirmektedirler.</w:t>
            </w:r>
          </w:p>
          <w:p w:rsidR="001D6CF5" w:rsidRPr="005D67B5" w:rsidRDefault="005D67B5" w:rsidP="005D67B5">
            <w:pPr>
              <w:tabs>
                <w:tab w:val="left" w:pos="2940"/>
              </w:tabs>
              <w:jc w:val="both"/>
              <w:rPr>
                <w:rFonts w:ascii="Century" w:hAnsi="Century"/>
                <w:lang w:val="tr-TR"/>
              </w:rPr>
            </w:pPr>
            <w:r w:rsidRPr="005D67B5">
              <w:rPr>
                <w:rFonts w:ascii="Century" w:hAnsi="Century"/>
                <w:lang w:val="tr-TR"/>
              </w:rPr>
              <w:tab/>
            </w:r>
          </w:p>
          <w:p w:rsidR="001D6CF5" w:rsidRPr="005D67B5" w:rsidRDefault="001D6CF5" w:rsidP="008D17FE">
            <w:pPr>
              <w:jc w:val="both"/>
              <w:rPr>
                <w:rFonts w:ascii="Century" w:hAnsi="Century"/>
                <w:lang w:val="tr-TR"/>
              </w:rPr>
            </w:pPr>
            <w:r w:rsidRPr="005D67B5">
              <w:rPr>
                <w:rFonts w:ascii="Century" w:hAnsi="Century"/>
                <w:lang w:val="tr-TR"/>
              </w:rPr>
              <w:t>Mevcut düzenlemelere</w:t>
            </w:r>
            <w:r w:rsidR="004E6696" w:rsidRPr="005D67B5">
              <w:rPr>
                <w:rFonts w:ascii="Century" w:hAnsi="Century"/>
                <w:lang w:val="tr-TR"/>
              </w:rPr>
              <w:t xml:space="preserve"> göre</w:t>
            </w:r>
            <w:r w:rsidRPr="005D67B5">
              <w:rPr>
                <w:rFonts w:ascii="Century" w:hAnsi="Century"/>
                <w:lang w:val="tr-TR"/>
              </w:rPr>
              <w:t xml:space="preserve"> </w:t>
            </w:r>
            <w:r w:rsidR="00891E9E" w:rsidRPr="005D67B5">
              <w:rPr>
                <w:rFonts w:ascii="Century" w:hAnsi="Century"/>
                <w:lang w:val="tr-TR"/>
              </w:rPr>
              <w:t xml:space="preserve">hayat sigorta şirketleri aynı zamanda </w:t>
            </w:r>
            <w:r w:rsidR="00177C65" w:rsidRPr="005D67B5">
              <w:rPr>
                <w:rFonts w:ascii="Century" w:hAnsi="Century"/>
                <w:lang w:val="tr-TR"/>
              </w:rPr>
              <w:t>hayat dışı branşlardan sağlık v</w:t>
            </w:r>
            <w:r w:rsidR="00084428" w:rsidRPr="005D67B5">
              <w:rPr>
                <w:rFonts w:ascii="Century" w:hAnsi="Century"/>
                <w:lang w:val="tr-TR"/>
              </w:rPr>
              <w:t>e ferdi kaza branşlarında, emeklilik</w:t>
            </w:r>
            <w:r w:rsidR="00177C65" w:rsidRPr="005D67B5">
              <w:rPr>
                <w:rFonts w:ascii="Century" w:hAnsi="Century"/>
                <w:lang w:val="tr-TR"/>
              </w:rPr>
              <w:t xml:space="preserve"> şirketleri ise </w:t>
            </w:r>
            <w:r w:rsidR="00084428" w:rsidRPr="005D67B5">
              <w:rPr>
                <w:rFonts w:ascii="Century" w:hAnsi="Century"/>
                <w:lang w:val="tr-TR"/>
              </w:rPr>
              <w:t xml:space="preserve"> ferdi faza branşında</w:t>
            </w:r>
            <w:r w:rsidR="00177C65" w:rsidRPr="005D67B5">
              <w:rPr>
                <w:rFonts w:ascii="Century" w:hAnsi="Century"/>
                <w:lang w:val="tr-TR"/>
              </w:rPr>
              <w:t xml:space="preserve"> da</w:t>
            </w:r>
            <w:r w:rsidR="00084428" w:rsidRPr="005D67B5">
              <w:rPr>
                <w:rFonts w:ascii="Century" w:hAnsi="Century"/>
                <w:lang w:val="tr-TR"/>
              </w:rPr>
              <w:t xml:space="preserve"> faaliyette bulunabilmektedirler. </w:t>
            </w:r>
          </w:p>
          <w:p w:rsidR="001D6CF5" w:rsidRPr="00367FA3" w:rsidRDefault="001D6CF5" w:rsidP="008D17FE">
            <w:pPr>
              <w:jc w:val="both"/>
              <w:rPr>
                <w:rFonts w:ascii="Century" w:hAnsi="Century"/>
                <w:highlight w:val="yellow"/>
                <w:lang w:val="tr-TR"/>
              </w:rPr>
            </w:pPr>
          </w:p>
          <w:p w:rsidR="00177C65" w:rsidRPr="00251B0E" w:rsidRDefault="00177C65" w:rsidP="008D17FE">
            <w:pPr>
              <w:jc w:val="both"/>
              <w:rPr>
                <w:rFonts w:ascii="Century" w:hAnsi="Century"/>
                <w:sz w:val="16"/>
                <w:szCs w:val="16"/>
                <w:highlight w:val="yellow"/>
                <w:lang w:val="tr-TR"/>
              </w:rPr>
            </w:pPr>
          </w:p>
          <w:p w:rsidR="00084428" w:rsidRPr="005D67B5" w:rsidRDefault="00084428" w:rsidP="008D17FE">
            <w:pPr>
              <w:jc w:val="both"/>
              <w:rPr>
                <w:rFonts w:ascii="Century" w:hAnsi="Century"/>
                <w:lang w:val="tr-TR"/>
              </w:rPr>
            </w:pPr>
            <w:r w:rsidRPr="005D67B5">
              <w:rPr>
                <w:rFonts w:ascii="Century" w:hAnsi="Century"/>
                <w:lang w:val="tr-TR"/>
              </w:rPr>
              <w:t>Çalışılan branşlara göre ruhsatı bulunan şirket sayısını gösteren tablo aşağıda verilmiştir.</w:t>
            </w:r>
          </w:p>
          <w:p w:rsidR="00E9638A" w:rsidRPr="00251B0E" w:rsidRDefault="00E9638A" w:rsidP="008D17FE">
            <w:pPr>
              <w:rPr>
                <w:rFonts w:ascii="Century" w:hAnsi="Century"/>
                <w:sz w:val="16"/>
                <w:szCs w:val="16"/>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C5DF8" w:rsidRPr="00A41A00" w:rsidRDefault="003F3D2E" w:rsidP="00DC5DF8">
            <w:pPr>
              <w:ind w:left="476" w:hanging="476"/>
              <w:rPr>
                <w:rFonts w:ascii="Century" w:hAnsi="Century"/>
                <w:b/>
                <w:color w:val="404040"/>
                <w:lang w:val="tr-TR"/>
              </w:rPr>
            </w:pPr>
            <w:r w:rsidRPr="00A41A00">
              <w:rPr>
                <w:rFonts w:ascii="Century" w:hAnsi="Century"/>
                <w:b/>
                <w:color w:val="404040"/>
                <w:lang w:val="tr-TR"/>
              </w:rPr>
              <w:t>1.5.</w:t>
            </w:r>
            <w:r w:rsidR="00DC5DF8" w:rsidRPr="00A41A00">
              <w:rPr>
                <w:rFonts w:ascii="Century" w:hAnsi="Century"/>
                <w:b/>
                <w:color w:val="404040"/>
                <w:lang w:val="tr-TR"/>
              </w:rPr>
              <w:t xml:space="preserve">  </w:t>
            </w:r>
            <w:r w:rsidR="004205AD" w:rsidRPr="00A41A00">
              <w:rPr>
                <w:rFonts w:ascii="Century" w:hAnsi="Century"/>
                <w:b/>
                <w:color w:val="404040"/>
                <w:lang w:val="tr-TR"/>
              </w:rPr>
              <w:t xml:space="preserve">Evaluation of </w:t>
            </w:r>
            <w:r w:rsidR="00DC5DF8" w:rsidRPr="00A41A00">
              <w:rPr>
                <w:rFonts w:ascii="Century" w:hAnsi="Century"/>
                <w:b/>
                <w:color w:val="404040"/>
                <w:lang w:val="tr-TR"/>
              </w:rPr>
              <w:t>Insurance Branches</w:t>
            </w:r>
          </w:p>
          <w:p w:rsidR="00DC5DF8" w:rsidRPr="00A41A00" w:rsidRDefault="00DC5DF8" w:rsidP="00DC5DF8">
            <w:pPr>
              <w:ind w:left="476" w:hanging="476"/>
              <w:rPr>
                <w:rFonts w:ascii="Century" w:hAnsi="Century"/>
                <w:b/>
                <w:color w:val="404040"/>
                <w:lang w:val="tr-TR"/>
              </w:rPr>
            </w:pPr>
          </w:p>
          <w:p w:rsidR="003F3D2E" w:rsidRPr="00A41A00" w:rsidRDefault="003F3D2E" w:rsidP="00DC5DF8">
            <w:pPr>
              <w:ind w:left="476" w:hanging="476"/>
              <w:rPr>
                <w:rFonts w:ascii="Century" w:hAnsi="Century"/>
                <w:b/>
                <w:color w:val="404040"/>
                <w:lang w:val="tr-TR"/>
              </w:rPr>
            </w:pPr>
          </w:p>
          <w:p w:rsidR="004A6F39" w:rsidRPr="00A41A00" w:rsidRDefault="00BE5C54" w:rsidP="00BE5C54">
            <w:pPr>
              <w:ind w:left="601" w:hanging="601"/>
              <w:rPr>
                <w:rFonts w:ascii="Century" w:hAnsi="Century"/>
                <w:b/>
                <w:color w:val="404040"/>
              </w:rPr>
            </w:pPr>
            <w:r w:rsidRPr="00A41A00">
              <w:rPr>
                <w:rFonts w:ascii="Century" w:hAnsi="Century"/>
                <w:b/>
                <w:color w:val="404040"/>
              </w:rPr>
              <w:t>1.5.1.</w:t>
            </w:r>
            <w:r w:rsidR="004A6F39" w:rsidRPr="00A41A00">
              <w:rPr>
                <w:rFonts w:ascii="Century" w:hAnsi="Century"/>
                <w:b/>
                <w:color w:val="404040"/>
              </w:rPr>
              <w:t>Structur</w:t>
            </w:r>
            <w:r w:rsidR="004205AD" w:rsidRPr="00A41A00">
              <w:rPr>
                <w:rFonts w:ascii="Century" w:hAnsi="Century"/>
                <w:b/>
                <w:color w:val="404040"/>
              </w:rPr>
              <w:t>al</w:t>
            </w:r>
            <w:r w:rsidR="004A6F39" w:rsidRPr="00A41A00">
              <w:rPr>
                <w:rFonts w:ascii="Century" w:hAnsi="Century"/>
                <w:b/>
                <w:color w:val="404040"/>
              </w:rPr>
              <w:t xml:space="preserve"> Indicators of Insurance Branches</w:t>
            </w:r>
          </w:p>
          <w:p w:rsidR="00DC5DF8" w:rsidRPr="00A41A00" w:rsidRDefault="00DC5DF8" w:rsidP="00BE5C54">
            <w:pPr>
              <w:ind w:hanging="476"/>
              <w:rPr>
                <w:rFonts w:ascii="Century" w:hAnsi="Century"/>
                <w:b/>
                <w:color w:val="404040"/>
                <w:lang w:val="tr-TR"/>
              </w:rPr>
            </w:pPr>
          </w:p>
          <w:p w:rsidR="001D6CF5" w:rsidRPr="00A41A00" w:rsidRDefault="000E4682" w:rsidP="00795BD6">
            <w:pPr>
              <w:jc w:val="both"/>
              <w:rPr>
                <w:rFonts w:ascii="Century" w:hAnsi="Century"/>
                <w:color w:val="404040"/>
              </w:rPr>
            </w:pPr>
            <w:r w:rsidRPr="00A41A00">
              <w:rPr>
                <w:rFonts w:ascii="Century" w:hAnsi="Century"/>
                <w:color w:val="404040"/>
              </w:rPr>
              <w:t>In parallel with global insurance</w:t>
            </w:r>
            <w:r w:rsidR="00891E9E" w:rsidRPr="00A41A00">
              <w:rPr>
                <w:rFonts w:ascii="Century" w:hAnsi="Century"/>
                <w:color w:val="404040"/>
              </w:rPr>
              <w:t>,</w:t>
            </w:r>
            <w:r w:rsidRPr="00A41A00">
              <w:rPr>
                <w:rFonts w:ascii="Century" w:hAnsi="Century"/>
                <w:color w:val="404040"/>
              </w:rPr>
              <w:t xml:space="preserve"> there are two main insurance </w:t>
            </w:r>
            <w:r w:rsidR="00417186" w:rsidRPr="00A41A00">
              <w:rPr>
                <w:rFonts w:ascii="Century" w:hAnsi="Century"/>
                <w:color w:val="404040"/>
              </w:rPr>
              <w:t>groups</w:t>
            </w:r>
            <w:r w:rsidRPr="00A41A00">
              <w:rPr>
                <w:rFonts w:ascii="Century" w:hAnsi="Century"/>
                <w:color w:val="404040"/>
              </w:rPr>
              <w:t xml:space="preserve">, </w:t>
            </w:r>
            <w:r w:rsidR="00795BD6" w:rsidRPr="00A41A00">
              <w:rPr>
                <w:rFonts w:ascii="Century" w:hAnsi="Century"/>
                <w:color w:val="404040"/>
              </w:rPr>
              <w:t>life</w:t>
            </w:r>
            <w:r w:rsidR="00417186" w:rsidRPr="00A41A00">
              <w:rPr>
                <w:rFonts w:ascii="Century" w:hAnsi="Century"/>
                <w:color w:val="404040"/>
              </w:rPr>
              <w:t xml:space="preserve"> and non-life</w:t>
            </w:r>
            <w:r w:rsidRPr="00A41A00">
              <w:rPr>
                <w:rFonts w:ascii="Century" w:hAnsi="Century"/>
                <w:color w:val="404040"/>
              </w:rPr>
              <w:t xml:space="preserve"> according to Turkish Insurance Legislation</w:t>
            </w:r>
            <w:r w:rsidR="00417186" w:rsidRPr="00A41A00">
              <w:rPr>
                <w:rFonts w:ascii="Century" w:hAnsi="Century"/>
                <w:color w:val="404040"/>
              </w:rPr>
              <w:t>.</w:t>
            </w:r>
            <w:r w:rsidRPr="00A41A00">
              <w:rPr>
                <w:rFonts w:ascii="Century" w:hAnsi="Century"/>
                <w:color w:val="404040"/>
              </w:rPr>
              <w:t xml:space="preserve"> </w:t>
            </w:r>
            <w:r w:rsidR="00417186" w:rsidRPr="00A41A00">
              <w:rPr>
                <w:rFonts w:ascii="Century" w:hAnsi="Century"/>
                <w:color w:val="404040"/>
              </w:rPr>
              <w:t xml:space="preserve">There had been </w:t>
            </w:r>
            <w:r w:rsidRPr="00A41A00">
              <w:rPr>
                <w:rFonts w:ascii="Century" w:hAnsi="Century"/>
                <w:color w:val="404040"/>
              </w:rPr>
              <w:t xml:space="preserve">10  </w:t>
            </w:r>
            <w:r w:rsidR="00795BD6" w:rsidRPr="00A41A00">
              <w:rPr>
                <w:rFonts w:ascii="Century" w:hAnsi="Century"/>
                <w:color w:val="404040"/>
              </w:rPr>
              <w:t xml:space="preserve"> branches in non</w:t>
            </w:r>
            <w:r w:rsidR="00AB220A" w:rsidRPr="00A41A00">
              <w:rPr>
                <w:rFonts w:ascii="Century" w:hAnsi="Century"/>
                <w:color w:val="404040"/>
              </w:rPr>
              <w:t>-</w:t>
            </w:r>
            <w:r w:rsidR="00795BD6" w:rsidRPr="00A41A00">
              <w:rPr>
                <w:rFonts w:ascii="Century" w:hAnsi="Century"/>
                <w:color w:val="404040"/>
              </w:rPr>
              <w:t xml:space="preserve">life </w:t>
            </w:r>
            <w:r w:rsidR="00417186" w:rsidRPr="00A41A00">
              <w:rPr>
                <w:rFonts w:ascii="Century" w:hAnsi="Century"/>
                <w:color w:val="404040"/>
              </w:rPr>
              <w:t>group before new Insurance Law (no:5684) established.</w:t>
            </w:r>
            <w:r w:rsidR="004448B0" w:rsidRPr="00A41A00">
              <w:rPr>
                <w:rFonts w:ascii="Century" w:hAnsi="Century"/>
                <w:color w:val="404040"/>
              </w:rPr>
              <w:t xml:space="preserve"> With the new legislation, companies started to operate in  </w:t>
            </w:r>
            <w:r w:rsidR="009D7F17" w:rsidRPr="00A41A00">
              <w:rPr>
                <w:rFonts w:ascii="Century" w:hAnsi="Century"/>
                <w:color w:val="404040"/>
              </w:rPr>
              <w:t>18 branches of non-life group and 7 branches of life group as at 01.01.2008</w:t>
            </w:r>
            <w:r w:rsidR="00E577C6" w:rsidRPr="00A41A00">
              <w:rPr>
                <w:rFonts w:ascii="Century" w:hAnsi="Century"/>
                <w:color w:val="404040"/>
              </w:rPr>
              <w:t>. Since this report is prepared for year 2007, such branches</w:t>
            </w:r>
            <w:r w:rsidR="00E65D3A" w:rsidRPr="00A41A00">
              <w:rPr>
                <w:rFonts w:ascii="Century" w:hAnsi="Century"/>
                <w:color w:val="404040"/>
              </w:rPr>
              <w:t xml:space="preserve"> are not included.</w:t>
            </w:r>
            <w:r w:rsidR="009D7F17" w:rsidRPr="00A41A00">
              <w:rPr>
                <w:rFonts w:ascii="Century" w:hAnsi="Century"/>
                <w:color w:val="404040"/>
              </w:rPr>
              <w:t xml:space="preserve"> </w:t>
            </w:r>
            <w:r w:rsidR="00417186" w:rsidRPr="00A41A00">
              <w:rPr>
                <w:rFonts w:ascii="Century" w:hAnsi="Century"/>
                <w:color w:val="404040"/>
              </w:rPr>
              <w:t xml:space="preserve"> </w:t>
            </w:r>
          </w:p>
          <w:p w:rsidR="000863BE" w:rsidRPr="00A41A00" w:rsidRDefault="000863BE" w:rsidP="00795BD6">
            <w:pPr>
              <w:jc w:val="both"/>
              <w:rPr>
                <w:rFonts w:ascii="Century" w:hAnsi="Century"/>
                <w:color w:val="404040"/>
                <w:highlight w:val="yellow"/>
              </w:rPr>
            </w:pPr>
          </w:p>
          <w:p w:rsidR="000863BE" w:rsidRPr="00A41A00" w:rsidRDefault="000863BE" w:rsidP="00795BD6">
            <w:pPr>
              <w:jc w:val="both"/>
              <w:rPr>
                <w:rFonts w:ascii="Century" w:hAnsi="Century"/>
                <w:color w:val="404040"/>
                <w:highlight w:val="yellow"/>
              </w:rPr>
            </w:pPr>
          </w:p>
          <w:p w:rsidR="000863BE" w:rsidRPr="00A41A00" w:rsidRDefault="000863BE" w:rsidP="00795BD6">
            <w:pPr>
              <w:jc w:val="both"/>
              <w:rPr>
                <w:rFonts w:ascii="Century" w:hAnsi="Century"/>
                <w:color w:val="404040"/>
                <w:highlight w:val="yellow"/>
              </w:rPr>
            </w:pPr>
          </w:p>
          <w:p w:rsidR="000863BE" w:rsidRPr="00A41A00" w:rsidRDefault="000863BE" w:rsidP="00795BD6">
            <w:pPr>
              <w:jc w:val="both"/>
              <w:rPr>
                <w:rFonts w:ascii="Century" w:hAnsi="Century"/>
                <w:color w:val="404040"/>
                <w:highlight w:val="yellow"/>
              </w:rPr>
            </w:pPr>
          </w:p>
          <w:p w:rsidR="000863BE" w:rsidRPr="00A41A00" w:rsidRDefault="000863BE" w:rsidP="00795BD6">
            <w:pPr>
              <w:jc w:val="both"/>
              <w:rPr>
                <w:rFonts w:ascii="Century" w:hAnsi="Century"/>
                <w:color w:val="404040"/>
                <w:highlight w:val="yellow"/>
              </w:rPr>
            </w:pPr>
          </w:p>
          <w:p w:rsidR="0068596E" w:rsidRPr="00A41A00" w:rsidRDefault="0068596E" w:rsidP="00795BD6">
            <w:pPr>
              <w:jc w:val="both"/>
              <w:rPr>
                <w:rFonts w:ascii="Century" w:hAnsi="Century"/>
                <w:color w:val="404040"/>
                <w:highlight w:val="yellow"/>
              </w:rPr>
            </w:pPr>
          </w:p>
          <w:p w:rsidR="001D6CF5" w:rsidRPr="00A41A00" w:rsidRDefault="00795BD6" w:rsidP="00795BD6">
            <w:pPr>
              <w:jc w:val="both"/>
              <w:rPr>
                <w:rFonts w:ascii="Century" w:hAnsi="Century"/>
                <w:color w:val="404040"/>
              </w:rPr>
            </w:pPr>
            <w:r w:rsidRPr="00A41A00">
              <w:rPr>
                <w:rFonts w:ascii="Century" w:hAnsi="Century"/>
                <w:color w:val="404040"/>
              </w:rPr>
              <w:lastRenderedPageBreak/>
              <w:t>Insurance companies have been allowed to operate either in life or non-li</w:t>
            </w:r>
            <w:r w:rsidR="00A41A00">
              <w:rPr>
                <w:rFonts w:ascii="Century" w:hAnsi="Century"/>
                <w:color w:val="404040"/>
              </w:rPr>
              <w:t>fe insurance branches since 1998</w:t>
            </w:r>
            <w:r w:rsidRPr="00A41A00">
              <w:rPr>
                <w:rFonts w:ascii="Century" w:hAnsi="Century"/>
                <w:color w:val="404040"/>
              </w:rPr>
              <w:t xml:space="preserve"> according to Legis</w:t>
            </w:r>
            <w:r w:rsidR="004A6F39" w:rsidRPr="00A41A00">
              <w:rPr>
                <w:rFonts w:ascii="Century" w:hAnsi="Century"/>
                <w:color w:val="404040"/>
              </w:rPr>
              <w:t>la</w:t>
            </w:r>
            <w:r w:rsidRPr="00A41A00">
              <w:rPr>
                <w:rFonts w:ascii="Century" w:hAnsi="Century"/>
                <w:color w:val="404040"/>
              </w:rPr>
              <w:t xml:space="preserve">tion. However 6 non-life insurance companies continued operations in life branch inactively maintaining present life portfolio. </w:t>
            </w:r>
          </w:p>
          <w:p w:rsidR="001D6CF5" w:rsidRPr="00A41A00" w:rsidRDefault="001D6CF5" w:rsidP="00795BD6">
            <w:pPr>
              <w:jc w:val="both"/>
              <w:rPr>
                <w:rFonts w:ascii="Century" w:hAnsi="Century"/>
                <w:color w:val="404040"/>
              </w:rPr>
            </w:pPr>
          </w:p>
          <w:p w:rsidR="00891E9E" w:rsidRPr="00A41A00" w:rsidRDefault="00891E9E" w:rsidP="00795BD6">
            <w:pPr>
              <w:jc w:val="both"/>
              <w:rPr>
                <w:rFonts w:ascii="Century" w:hAnsi="Century"/>
                <w:color w:val="404040"/>
                <w:sz w:val="20"/>
                <w:szCs w:val="20"/>
              </w:rPr>
            </w:pPr>
          </w:p>
          <w:p w:rsidR="001D6CF5" w:rsidRPr="00A41A00" w:rsidRDefault="001D6CF5" w:rsidP="00795BD6">
            <w:pPr>
              <w:jc w:val="both"/>
              <w:rPr>
                <w:rFonts w:ascii="Century" w:hAnsi="Century"/>
                <w:color w:val="404040"/>
              </w:rPr>
            </w:pPr>
            <w:r w:rsidRPr="00A41A00">
              <w:rPr>
                <w:rFonts w:ascii="Century" w:hAnsi="Century"/>
                <w:color w:val="404040"/>
              </w:rPr>
              <w:t>In current system, pure life insurance companies could also operate in health and personal accident branches from non-life branches. If life insurance company also operate in pension system, it can only work in personal accident branch form non-life ones.</w:t>
            </w:r>
          </w:p>
          <w:p w:rsidR="001D6CF5" w:rsidRPr="00A41A00" w:rsidRDefault="001D6CF5" w:rsidP="00795BD6">
            <w:pPr>
              <w:jc w:val="both"/>
              <w:rPr>
                <w:rFonts w:ascii="Century" w:hAnsi="Century"/>
                <w:color w:val="404040"/>
                <w:sz w:val="16"/>
                <w:szCs w:val="16"/>
                <w:highlight w:val="yellow"/>
              </w:rPr>
            </w:pPr>
          </w:p>
          <w:p w:rsidR="00795BD6" w:rsidRPr="00A41A00" w:rsidRDefault="00795BD6" w:rsidP="00795BD6">
            <w:pPr>
              <w:jc w:val="both"/>
              <w:rPr>
                <w:rFonts w:ascii="Century" w:hAnsi="Century"/>
                <w:color w:val="404040"/>
              </w:rPr>
            </w:pPr>
            <w:r w:rsidRPr="00A41A00">
              <w:rPr>
                <w:rFonts w:ascii="Century" w:hAnsi="Century"/>
                <w:color w:val="404040"/>
              </w:rPr>
              <w:t>The numbers of companies those have license to operate for each branch are shown below.</w:t>
            </w:r>
          </w:p>
          <w:p w:rsidR="00795BD6" w:rsidRPr="00E45429" w:rsidRDefault="00795BD6" w:rsidP="00DC5DF8">
            <w:pPr>
              <w:ind w:left="476" w:hanging="476"/>
              <w:rPr>
                <w:rFonts w:ascii="Century" w:hAnsi="Century"/>
                <w:b/>
                <w:color w:val="999999"/>
                <w:sz w:val="20"/>
                <w:szCs w:val="20"/>
                <w:highlight w:val="yellow"/>
                <w:lang w:val="tr-TR"/>
              </w:rPr>
            </w:pPr>
          </w:p>
        </w:tc>
      </w:tr>
      <w:tr w:rsidR="00D86152" w:rsidRPr="00367FA3">
        <w:tc>
          <w:tcPr>
            <w:tcW w:w="9855" w:type="dxa"/>
            <w:gridSpan w:val="5"/>
          </w:tcPr>
          <w:p w:rsidR="00084428" w:rsidRPr="00367FA3" w:rsidRDefault="00084428" w:rsidP="00D96FCE">
            <w:pPr>
              <w:pStyle w:val="ResimYazs"/>
              <w:jc w:val="center"/>
              <w:rPr>
                <w:rFonts w:ascii="Century" w:hAnsi="Century"/>
                <w:highlight w:val="yellow"/>
                <w:lang w:val="tr-TR"/>
              </w:rPr>
            </w:pPr>
            <w:bookmarkStart w:id="102" w:name="_Toc170665555"/>
            <w:r w:rsidRPr="00E75252">
              <w:rPr>
                <w:rFonts w:ascii="Century" w:hAnsi="Century"/>
                <w:lang w:val="tr-TR"/>
              </w:rPr>
              <w:lastRenderedPageBreak/>
              <w:t xml:space="preserve">Tablo </w:t>
            </w:r>
            <w:r w:rsidR="00D532F8" w:rsidRPr="00E75252">
              <w:rPr>
                <w:rFonts w:ascii="Century" w:hAnsi="Century"/>
                <w:lang w:val="tr-TR"/>
              </w:rPr>
              <w:t>1.5</w:t>
            </w:r>
            <w:r w:rsidRPr="00E75252">
              <w:rPr>
                <w:rFonts w:ascii="Century" w:hAnsi="Century"/>
                <w:lang w:val="tr-TR"/>
              </w:rPr>
              <w:noBreakHyphen/>
            </w:r>
            <w:r w:rsidRPr="00E75252">
              <w:rPr>
                <w:rFonts w:ascii="Century" w:hAnsi="Century"/>
                <w:lang w:val="tr-TR"/>
              </w:rPr>
              <w:fldChar w:fldCharType="begin"/>
            </w:r>
            <w:r w:rsidRPr="00E75252">
              <w:rPr>
                <w:rFonts w:ascii="Century" w:hAnsi="Century"/>
                <w:lang w:val="tr-TR"/>
              </w:rPr>
              <w:instrText xml:space="preserve"> SEQ Tablo \* ARABIC \s 2 </w:instrText>
            </w:r>
            <w:r w:rsidRPr="00E75252">
              <w:rPr>
                <w:rFonts w:ascii="Century" w:hAnsi="Century"/>
                <w:lang w:val="tr-TR"/>
              </w:rPr>
              <w:fldChar w:fldCharType="separate"/>
            </w:r>
            <w:r w:rsidR="00DA718E">
              <w:rPr>
                <w:rFonts w:ascii="Century" w:hAnsi="Century"/>
                <w:noProof/>
                <w:lang w:val="tr-TR"/>
              </w:rPr>
              <w:t>1</w:t>
            </w:r>
            <w:r w:rsidRPr="00E75252">
              <w:rPr>
                <w:rFonts w:ascii="Century" w:hAnsi="Century"/>
                <w:lang w:val="tr-TR"/>
              </w:rPr>
              <w:fldChar w:fldCharType="end"/>
            </w:r>
            <w:r w:rsidRPr="00E75252">
              <w:rPr>
                <w:rFonts w:ascii="Century" w:hAnsi="Century"/>
                <w:lang w:val="tr-TR"/>
              </w:rPr>
              <w:t xml:space="preserve">; </w:t>
            </w:r>
            <w:r w:rsidRPr="00E75252">
              <w:rPr>
                <w:rFonts w:ascii="Century" w:hAnsi="Century"/>
                <w:bCs w:val="0"/>
                <w:lang w:val="tr-TR"/>
              </w:rPr>
              <w:t>Branşlara Göre Ruhsatı Olan Şirket Sayısı -</w:t>
            </w:r>
            <w:r w:rsidRPr="00E75252">
              <w:rPr>
                <w:rFonts w:ascii="Century" w:hAnsi="Century"/>
                <w:i/>
                <w:iCs/>
                <w:lang w:val="tr-TR"/>
              </w:rPr>
              <w:t xml:space="preserve"> </w:t>
            </w:r>
            <w:r w:rsidRPr="00E75252">
              <w:rPr>
                <w:rFonts w:ascii="Century" w:hAnsi="Century"/>
                <w:b w:val="0"/>
                <w:i/>
                <w:iCs/>
                <w:lang w:val="tr-TR"/>
              </w:rPr>
              <w:t>No.of Companies According to Branches</w:t>
            </w:r>
            <w:bookmarkEnd w:id="102"/>
          </w:p>
          <w:p w:rsidR="004A6F39" w:rsidRPr="004606DF" w:rsidRDefault="004606DF" w:rsidP="00D96FCE">
            <w:pPr>
              <w:jc w:val="center"/>
              <w:rPr>
                <w:rFonts w:ascii="Century" w:hAnsi="Century"/>
                <w:highlight w:val="yellow"/>
                <w:lang w:val="tr-TR"/>
              </w:rPr>
            </w:pPr>
            <w:r w:rsidRPr="004606DF">
              <w:rPr>
                <w:rFonts w:ascii="Century" w:hAnsi="Century"/>
                <w:lang w:val="tr-TR"/>
              </w:rPr>
              <w:pict>
                <v:shape id="_x0000_i1073" type="#_x0000_t75" style="width:380.25pt;height:187.5pt">
                  <v:imagedata r:id="rId63" o:title=""/>
                </v:shape>
              </w:pict>
            </w:r>
          </w:p>
          <w:p w:rsidR="005D67B5" w:rsidRPr="00251B0E" w:rsidRDefault="005D67B5" w:rsidP="00D96FCE">
            <w:pPr>
              <w:jc w:val="center"/>
              <w:rPr>
                <w:rFonts w:ascii="Century" w:hAnsi="Century"/>
                <w:sz w:val="16"/>
                <w:szCs w:val="16"/>
                <w:highlight w:val="yellow"/>
                <w:lang w:val="tr-TR"/>
              </w:rPr>
            </w:pPr>
          </w:p>
        </w:tc>
      </w:tr>
      <w:tr w:rsidR="00D86152" w:rsidRPr="00367FA3">
        <w:tc>
          <w:tcPr>
            <w:tcW w:w="4815" w:type="dxa"/>
            <w:gridSpan w:val="2"/>
          </w:tcPr>
          <w:p w:rsidR="00E9638A" w:rsidRDefault="005D67B5" w:rsidP="005D67B5">
            <w:pPr>
              <w:jc w:val="both"/>
              <w:rPr>
                <w:rFonts w:ascii="Century" w:hAnsi="Century"/>
                <w:lang w:val="tr-TR"/>
              </w:rPr>
            </w:pPr>
            <w:r w:rsidRPr="005D67B5">
              <w:rPr>
                <w:rFonts w:ascii="Century" w:hAnsi="Century"/>
                <w:lang w:val="tr-TR"/>
              </w:rPr>
              <w:t>31.12.2007</w:t>
            </w:r>
            <w:r w:rsidR="00084428" w:rsidRPr="005D67B5">
              <w:rPr>
                <w:rFonts w:ascii="Century" w:hAnsi="Century"/>
                <w:lang w:val="tr-TR"/>
              </w:rPr>
              <w:t xml:space="preserve"> tarihi itibariyle ruhsatları bulunmakla birlikte çeşitli sebeplerle prim üretiminde bulunmayan şirketler ve faaliyette bulunmama sebepleri aşağıda verilmiştir.</w:t>
            </w:r>
            <w:r w:rsidR="000E4682" w:rsidRPr="005D67B5">
              <w:rPr>
                <w:rFonts w:ascii="Century" w:hAnsi="Century"/>
                <w:lang w:val="tr-TR"/>
              </w:rPr>
              <w:t xml:space="preserve"> Tabloda yer</w:t>
            </w:r>
            <w:r w:rsidR="00A55CF3" w:rsidRPr="005D67B5">
              <w:rPr>
                <w:rFonts w:ascii="Century" w:hAnsi="Century"/>
                <w:lang w:val="tr-TR"/>
              </w:rPr>
              <w:t xml:space="preserve"> almayan  Magdeburger Sigorta AŞ</w:t>
            </w:r>
            <w:r w:rsidR="000E4682" w:rsidRPr="005D67B5">
              <w:rPr>
                <w:rFonts w:ascii="Century" w:hAnsi="Century"/>
                <w:lang w:val="tr-TR"/>
              </w:rPr>
              <w:t xml:space="preserve"> de</w:t>
            </w:r>
            <w:r w:rsidR="00084428" w:rsidRPr="005D67B5">
              <w:rPr>
                <w:rFonts w:ascii="Century" w:hAnsi="Century"/>
                <w:lang w:val="tr-TR"/>
              </w:rPr>
              <w:t xml:space="preserve"> kendi isteği ile prim üretiminde bulunmamakt</w:t>
            </w:r>
            <w:r w:rsidR="00DE086E" w:rsidRPr="005D67B5">
              <w:rPr>
                <w:rFonts w:ascii="Century" w:hAnsi="Century"/>
                <w:lang w:val="tr-TR"/>
              </w:rPr>
              <w:t>adır. Rapor’un Tablolar kısmının</w:t>
            </w:r>
            <w:r w:rsidR="00084428" w:rsidRPr="005D67B5">
              <w:rPr>
                <w:rFonts w:ascii="Century" w:hAnsi="Century"/>
                <w:lang w:val="tr-TR"/>
              </w:rPr>
              <w:t xml:space="preserve"> ilk ve son bölümler</w:t>
            </w:r>
            <w:r w:rsidR="00DE086E" w:rsidRPr="005D67B5">
              <w:rPr>
                <w:rFonts w:ascii="Century" w:hAnsi="Century"/>
                <w:lang w:val="tr-TR"/>
              </w:rPr>
              <w:t>i</w:t>
            </w:r>
            <w:r w:rsidR="00084428" w:rsidRPr="005D67B5">
              <w:rPr>
                <w:rFonts w:ascii="Century" w:hAnsi="Century"/>
                <w:lang w:val="tr-TR"/>
              </w:rPr>
              <w:t xml:space="preserve"> hariç</w:t>
            </w:r>
            <w:r w:rsidR="00DE086E" w:rsidRPr="005D67B5">
              <w:rPr>
                <w:rFonts w:ascii="Century" w:hAnsi="Century"/>
                <w:lang w:val="tr-TR"/>
              </w:rPr>
              <w:t xml:space="preserve"> diğer bölümlerinde </w:t>
            </w:r>
            <w:r w:rsidR="00084428" w:rsidRPr="005D67B5">
              <w:rPr>
                <w:rFonts w:ascii="Century" w:hAnsi="Century"/>
                <w:lang w:val="tr-TR"/>
              </w:rPr>
              <w:t xml:space="preserve">aktif olarak prim üretiminde bulunmayan söz konusu şirketlerin verilerine yer verilmemiştir. </w:t>
            </w:r>
          </w:p>
          <w:p w:rsidR="00350749" w:rsidRPr="00367FA3" w:rsidRDefault="00350749" w:rsidP="005D67B5">
            <w:pPr>
              <w:jc w:val="both"/>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4A6F39" w:rsidRPr="00A41A00" w:rsidRDefault="004A6F39" w:rsidP="004A6F39">
            <w:pPr>
              <w:jc w:val="both"/>
              <w:rPr>
                <w:rFonts w:ascii="Century" w:hAnsi="Century"/>
                <w:color w:val="404040"/>
              </w:rPr>
            </w:pPr>
            <w:r w:rsidRPr="00A41A00">
              <w:rPr>
                <w:rFonts w:ascii="Century" w:hAnsi="Century"/>
                <w:color w:val="404040"/>
              </w:rPr>
              <w:t>The companies those have license</w:t>
            </w:r>
            <w:r w:rsidR="00173EB0" w:rsidRPr="00A41A00">
              <w:rPr>
                <w:rFonts w:ascii="Century" w:hAnsi="Century"/>
                <w:color w:val="404040"/>
              </w:rPr>
              <w:t>d</w:t>
            </w:r>
            <w:r w:rsidRPr="00A41A00">
              <w:rPr>
                <w:rFonts w:ascii="Century" w:hAnsi="Century"/>
                <w:color w:val="404040"/>
              </w:rPr>
              <w:t xml:space="preserve"> to operate as at </w:t>
            </w:r>
            <w:smartTag w:uri="urn:schemas-microsoft-com:office:smarttags" w:element="date">
              <w:smartTagPr>
                <w:attr w:name="Year" w:val="2007"/>
                <w:attr w:name="Day" w:val="31"/>
                <w:attr w:name="Month" w:val="12"/>
              </w:smartTagPr>
              <w:r w:rsidRPr="00A41A00">
                <w:rPr>
                  <w:rFonts w:ascii="Century" w:hAnsi="Century"/>
                  <w:color w:val="404040"/>
                </w:rPr>
                <w:t>December</w:t>
              </w:r>
              <w:r w:rsidR="00AB220A" w:rsidRPr="00A41A00">
                <w:rPr>
                  <w:rFonts w:ascii="Century" w:hAnsi="Century"/>
                  <w:color w:val="404040"/>
                </w:rPr>
                <w:t xml:space="preserve"> 31,</w:t>
              </w:r>
              <w:r w:rsidR="005D67B5" w:rsidRPr="00A41A00">
                <w:rPr>
                  <w:rFonts w:ascii="Century" w:hAnsi="Century"/>
                  <w:color w:val="404040"/>
                </w:rPr>
                <w:t xml:space="preserve"> 2007</w:t>
              </w:r>
            </w:smartTag>
            <w:r w:rsidRPr="00A41A00">
              <w:rPr>
                <w:rFonts w:ascii="Century" w:hAnsi="Century"/>
                <w:color w:val="404040"/>
              </w:rPr>
              <w:t xml:space="preserve"> but do not collect premium due to various reasons. The reasons of not collecting premiums are shown in table below. Magdeburger Insurance Company don’t collect premium voluntarily. The data of these companies are not included in the Tables section of this Report except the first and the final </w:t>
            </w:r>
            <w:r w:rsidR="00DE086E" w:rsidRPr="00A41A00">
              <w:rPr>
                <w:rFonts w:ascii="Century" w:hAnsi="Century"/>
                <w:color w:val="404040"/>
              </w:rPr>
              <w:t xml:space="preserve">sub </w:t>
            </w:r>
            <w:r w:rsidRPr="00A41A00">
              <w:rPr>
                <w:rFonts w:ascii="Century" w:hAnsi="Century"/>
                <w:color w:val="404040"/>
              </w:rPr>
              <w:t xml:space="preserve">sections. </w:t>
            </w:r>
          </w:p>
          <w:p w:rsidR="00D86152" w:rsidRPr="00367FA3" w:rsidRDefault="00D86152" w:rsidP="008D17FE">
            <w:pPr>
              <w:rPr>
                <w:rFonts w:ascii="Century" w:hAnsi="Century"/>
                <w:highlight w:val="yellow"/>
                <w:lang w:val="tr-TR"/>
              </w:rPr>
            </w:pPr>
          </w:p>
        </w:tc>
      </w:tr>
      <w:tr w:rsidR="00D86152" w:rsidRPr="00367FA3">
        <w:tc>
          <w:tcPr>
            <w:tcW w:w="9855" w:type="dxa"/>
            <w:gridSpan w:val="5"/>
          </w:tcPr>
          <w:p w:rsidR="00084428" w:rsidRPr="005D67B5" w:rsidRDefault="00084428" w:rsidP="00D96FCE">
            <w:pPr>
              <w:pStyle w:val="ResimYazs"/>
              <w:jc w:val="center"/>
              <w:rPr>
                <w:rFonts w:ascii="Century" w:hAnsi="Century"/>
                <w:lang w:val="tr-TR"/>
              </w:rPr>
            </w:pPr>
            <w:bookmarkStart w:id="103" w:name="_Toc170665556"/>
            <w:r w:rsidRPr="005D67B5">
              <w:rPr>
                <w:rFonts w:ascii="Century" w:hAnsi="Century"/>
                <w:lang w:val="tr-TR"/>
              </w:rPr>
              <w:lastRenderedPageBreak/>
              <w:t xml:space="preserve">Tablo </w:t>
            </w:r>
            <w:r w:rsidR="00D532F8" w:rsidRPr="005D67B5">
              <w:rPr>
                <w:rFonts w:ascii="Century" w:hAnsi="Century"/>
                <w:lang w:val="tr-TR"/>
              </w:rPr>
              <w:t>1.5</w:t>
            </w:r>
            <w:r w:rsidRPr="005D67B5">
              <w:rPr>
                <w:rFonts w:ascii="Century" w:hAnsi="Century"/>
                <w:lang w:val="tr-TR"/>
              </w:rPr>
              <w:noBreakHyphen/>
            </w:r>
            <w:r w:rsidRPr="005D67B5">
              <w:rPr>
                <w:rFonts w:ascii="Century" w:hAnsi="Century"/>
                <w:lang w:val="tr-TR"/>
              </w:rPr>
              <w:fldChar w:fldCharType="begin"/>
            </w:r>
            <w:r w:rsidRPr="005D67B5">
              <w:rPr>
                <w:rFonts w:ascii="Century" w:hAnsi="Century"/>
                <w:lang w:val="tr-TR"/>
              </w:rPr>
              <w:instrText xml:space="preserve"> SEQ Tablo \* ARABIC \s 2 </w:instrText>
            </w:r>
            <w:r w:rsidRPr="005D67B5">
              <w:rPr>
                <w:rFonts w:ascii="Century" w:hAnsi="Century"/>
                <w:lang w:val="tr-TR"/>
              </w:rPr>
              <w:fldChar w:fldCharType="separate"/>
            </w:r>
            <w:r w:rsidR="00DA718E">
              <w:rPr>
                <w:rFonts w:ascii="Century" w:hAnsi="Century"/>
                <w:noProof/>
                <w:lang w:val="tr-TR"/>
              </w:rPr>
              <w:t>2</w:t>
            </w:r>
            <w:r w:rsidRPr="005D67B5">
              <w:rPr>
                <w:rFonts w:ascii="Century" w:hAnsi="Century"/>
                <w:lang w:val="tr-TR"/>
              </w:rPr>
              <w:fldChar w:fldCharType="end"/>
            </w:r>
            <w:r w:rsidRPr="005D67B5">
              <w:rPr>
                <w:rFonts w:ascii="Century" w:hAnsi="Century"/>
                <w:lang w:val="tr-TR"/>
              </w:rPr>
              <w:t xml:space="preserve">; </w:t>
            </w:r>
            <w:r w:rsidRPr="005D67B5">
              <w:rPr>
                <w:rFonts w:ascii="Century" w:hAnsi="Century"/>
                <w:bCs w:val="0"/>
                <w:lang w:val="tr-TR"/>
              </w:rPr>
              <w:t xml:space="preserve">Faal Olmayan Şirketlere İlişkin Bilgiler - </w:t>
            </w:r>
            <w:r w:rsidRPr="005D67B5">
              <w:rPr>
                <w:rFonts w:ascii="Century" w:hAnsi="Century"/>
                <w:b w:val="0"/>
                <w:i/>
                <w:iCs/>
                <w:lang w:val="tr-TR"/>
              </w:rPr>
              <w:t>Information About Inactive Companies</w:t>
            </w:r>
            <w:bookmarkEnd w:id="103"/>
          </w:p>
          <w:p w:rsidR="00D86152" w:rsidRPr="009762E7" w:rsidRDefault="009762E7" w:rsidP="00D96FCE">
            <w:pPr>
              <w:jc w:val="center"/>
              <w:rPr>
                <w:rFonts w:ascii="Century" w:hAnsi="Century"/>
                <w:highlight w:val="yellow"/>
                <w:lang w:val="tr-TR"/>
              </w:rPr>
            </w:pPr>
            <w:r w:rsidRPr="009762E7">
              <w:rPr>
                <w:rFonts w:ascii="Century" w:hAnsi="Century"/>
                <w:lang w:val="tr-TR"/>
              </w:rPr>
              <w:pict>
                <v:shape id="_x0000_i1074" type="#_x0000_t75" style="width:481.5pt;height:103.5pt">
                  <v:imagedata r:id="rId64" o:title=""/>
                </v:shape>
              </w:pict>
            </w:r>
          </w:p>
        </w:tc>
      </w:tr>
      <w:tr w:rsidR="00D86152" w:rsidRPr="00367FA3">
        <w:tc>
          <w:tcPr>
            <w:tcW w:w="4815" w:type="dxa"/>
            <w:gridSpan w:val="2"/>
          </w:tcPr>
          <w:p w:rsidR="00E9638A" w:rsidRPr="00367FA3" w:rsidRDefault="00E9638A" w:rsidP="008D17FE">
            <w:pPr>
              <w:jc w:val="both"/>
              <w:rPr>
                <w:rFonts w:ascii="Century" w:hAnsi="Century"/>
                <w:highlight w:val="yellow"/>
                <w:lang w:val="tr-TR"/>
              </w:rPr>
            </w:pPr>
          </w:p>
          <w:p w:rsidR="00084428" w:rsidRPr="008D4603" w:rsidRDefault="00084428" w:rsidP="008D17FE">
            <w:pPr>
              <w:jc w:val="both"/>
              <w:rPr>
                <w:rFonts w:ascii="Century" w:hAnsi="Century"/>
                <w:lang w:val="tr-TR"/>
              </w:rPr>
            </w:pPr>
            <w:r w:rsidRPr="008D4603">
              <w:rPr>
                <w:rFonts w:ascii="Century" w:hAnsi="Century"/>
                <w:lang w:val="tr-TR"/>
              </w:rPr>
              <w:t>Faaliyette bulunulan branşlara göre faal şirket sayısı ve üretilen poliçe sayıları</w:t>
            </w:r>
            <w:r w:rsidR="00B3298E">
              <w:rPr>
                <w:rFonts w:ascii="Century" w:hAnsi="Century"/>
                <w:lang w:val="tr-TR"/>
              </w:rPr>
              <w:t xml:space="preserve">nı veren aşağıdaki tablo </w:t>
            </w:r>
            <w:r w:rsidRPr="008D4603">
              <w:rPr>
                <w:rFonts w:ascii="Century" w:hAnsi="Century"/>
                <w:lang w:val="tr-TR"/>
              </w:rPr>
              <w:t>incelendiğinde, 200</w:t>
            </w:r>
            <w:r w:rsidR="008D4603" w:rsidRPr="008D4603">
              <w:rPr>
                <w:rFonts w:ascii="Century" w:hAnsi="Century"/>
                <w:lang w:val="tr-TR"/>
              </w:rPr>
              <w:t>7</w:t>
            </w:r>
            <w:r w:rsidRPr="008D4603">
              <w:rPr>
                <w:rFonts w:ascii="Century" w:hAnsi="Century"/>
                <w:lang w:val="tr-TR"/>
              </w:rPr>
              <w:t xml:space="preserve"> yılında üretilen poliçelerin %</w:t>
            </w:r>
            <w:r w:rsidR="002547A1" w:rsidRPr="008D4603">
              <w:rPr>
                <w:rFonts w:ascii="Century" w:hAnsi="Century"/>
                <w:lang w:val="tr-TR"/>
              </w:rPr>
              <w:t xml:space="preserve"> </w:t>
            </w:r>
            <w:r w:rsidRPr="008D4603">
              <w:rPr>
                <w:rFonts w:ascii="Century" w:hAnsi="Century"/>
                <w:lang w:val="tr-TR"/>
              </w:rPr>
              <w:t>2</w:t>
            </w:r>
            <w:r w:rsidR="008D4603" w:rsidRPr="008D4603">
              <w:rPr>
                <w:rFonts w:ascii="Century" w:hAnsi="Century"/>
                <w:lang w:val="tr-TR"/>
              </w:rPr>
              <w:t>8</w:t>
            </w:r>
            <w:r w:rsidRPr="008D4603">
              <w:rPr>
                <w:rFonts w:ascii="Century" w:hAnsi="Century"/>
                <w:lang w:val="tr-TR"/>
              </w:rPr>
              <w:t>’</w:t>
            </w:r>
            <w:r w:rsidR="008D4603" w:rsidRPr="008D4603">
              <w:rPr>
                <w:rFonts w:ascii="Century" w:hAnsi="Century"/>
                <w:lang w:val="tr-TR"/>
              </w:rPr>
              <w:t>inin</w:t>
            </w:r>
            <w:r w:rsidRPr="008D4603">
              <w:rPr>
                <w:rFonts w:ascii="Century" w:hAnsi="Century"/>
                <w:lang w:val="tr-TR"/>
              </w:rPr>
              <w:t xml:space="preserve"> trafik,</w:t>
            </w:r>
            <w:r w:rsidR="008D4603" w:rsidRPr="008D4603">
              <w:rPr>
                <w:rFonts w:ascii="Century" w:hAnsi="Century"/>
                <w:lang w:val="tr-TR"/>
              </w:rPr>
              <w:t xml:space="preserve"> % 17’sinin hayat</w:t>
            </w:r>
            <w:r w:rsidRPr="008D4603">
              <w:rPr>
                <w:rFonts w:ascii="Century" w:hAnsi="Century"/>
                <w:lang w:val="tr-TR"/>
              </w:rPr>
              <w:t xml:space="preserve"> </w:t>
            </w:r>
            <w:r w:rsidR="00DE086E" w:rsidRPr="008D4603">
              <w:rPr>
                <w:rFonts w:ascii="Century" w:hAnsi="Century"/>
                <w:lang w:val="tr-TR"/>
              </w:rPr>
              <w:t>%</w:t>
            </w:r>
            <w:r w:rsidR="002547A1" w:rsidRPr="008D4603">
              <w:rPr>
                <w:rFonts w:ascii="Century" w:hAnsi="Century"/>
                <w:lang w:val="tr-TR"/>
              </w:rPr>
              <w:t xml:space="preserve"> </w:t>
            </w:r>
            <w:r w:rsidR="008D4603" w:rsidRPr="008D4603">
              <w:rPr>
                <w:rFonts w:ascii="Century" w:hAnsi="Century"/>
                <w:lang w:val="tr-TR"/>
              </w:rPr>
              <w:t>16</w:t>
            </w:r>
            <w:r w:rsidR="00DE086E" w:rsidRPr="008D4603">
              <w:rPr>
                <w:rFonts w:ascii="Century" w:hAnsi="Century"/>
                <w:lang w:val="tr-TR"/>
              </w:rPr>
              <w:t>’</w:t>
            </w:r>
            <w:r w:rsidR="008D4603" w:rsidRPr="008D4603">
              <w:rPr>
                <w:rFonts w:ascii="Century" w:hAnsi="Century"/>
                <w:lang w:val="tr-TR"/>
              </w:rPr>
              <w:t>sının kaza</w:t>
            </w:r>
            <w:r w:rsidR="00DE086E" w:rsidRPr="008D4603">
              <w:rPr>
                <w:rFonts w:ascii="Century" w:hAnsi="Century"/>
                <w:lang w:val="tr-TR"/>
              </w:rPr>
              <w:t xml:space="preserve"> ve</w:t>
            </w:r>
            <w:r w:rsidRPr="008D4603">
              <w:rPr>
                <w:rFonts w:ascii="Century" w:hAnsi="Century"/>
                <w:lang w:val="tr-TR"/>
              </w:rPr>
              <w:t xml:space="preserve"> %</w:t>
            </w:r>
            <w:r w:rsidR="002547A1" w:rsidRPr="008D4603">
              <w:rPr>
                <w:rFonts w:ascii="Century" w:hAnsi="Century"/>
                <w:lang w:val="tr-TR"/>
              </w:rPr>
              <w:t xml:space="preserve"> </w:t>
            </w:r>
            <w:r w:rsidRPr="008D4603">
              <w:rPr>
                <w:rFonts w:ascii="Century" w:hAnsi="Century"/>
                <w:lang w:val="tr-TR"/>
              </w:rPr>
              <w:t>1</w:t>
            </w:r>
            <w:r w:rsidR="008D4603" w:rsidRPr="008D4603">
              <w:rPr>
                <w:rFonts w:ascii="Century" w:hAnsi="Century"/>
                <w:lang w:val="tr-TR"/>
              </w:rPr>
              <w:t>4</w:t>
            </w:r>
            <w:r w:rsidRPr="008D4603">
              <w:rPr>
                <w:rFonts w:ascii="Century" w:hAnsi="Century"/>
                <w:lang w:val="tr-TR"/>
              </w:rPr>
              <w:t xml:space="preserve">’ünün ferdi kaza branşına ilişkin olduğu görülmektedir. </w:t>
            </w:r>
          </w:p>
          <w:p w:rsidR="00D86152" w:rsidRPr="00367FA3" w:rsidRDefault="00D86152"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A25FEB" w:rsidRPr="00367FA3" w:rsidRDefault="00A25FEB" w:rsidP="008D17FE">
            <w:pPr>
              <w:rPr>
                <w:rFonts w:ascii="Century" w:hAnsi="Century"/>
                <w:highlight w:val="yellow"/>
                <w:lang w:val="tr-TR"/>
              </w:rPr>
            </w:pPr>
          </w:p>
          <w:p w:rsidR="00A25FEB" w:rsidRPr="00A41A00" w:rsidRDefault="00A25FEB" w:rsidP="00A25FEB">
            <w:pPr>
              <w:jc w:val="both"/>
              <w:rPr>
                <w:rFonts w:ascii="Century" w:hAnsi="Century"/>
                <w:color w:val="404040"/>
              </w:rPr>
            </w:pPr>
            <w:r w:rsidRPr="00A41A00">
              <w:rPr>
                <w:rFonts w:ascii="Century" w:hAnsi="Century"/>
                <w:color w:val="404040"/>
              </w:rPr>
              <w:t>It is observed that 2</w:t>
            </w:r>
            <w:r w:rsidR="008D4603" w:rsidRPr="00A41A00">
              <w:rPr>
                <w:rFonts w:ascii="Century" w:hAnsi="Century"/>
                <w:color w:val="404040"/>
              </w:rPr>
              <w:t>8</w:t>
            </w:r>
            <w:r w:rsidRPr="00A41A00">
              <w:rPr>
                <w:rFonts w:ascii="Century" w:hAnsi="Century"/>
                <w:color w:val="404040"/>
              </w:rPr>
              <w:t>% of all policies bought in 200</w:t>
            </w:r>
            <w:r w:rsidR="008D4603" w:rsidRPr="00A41A00">
              <w:rPr>
                <w:rFonts w:ascii="Century" w:hAnsi="Century"/>
                <w:color w:val="404040"/>
              </w:rPr>
              <w:t>7</w:t>
            </w:r>
            <w:r w:rsidRPr="00A41A00">
              <w:rPr>
                <w:rFonts w:ascii="Century" w:hAnsi="Century"/>
                <w:color w:val="404040"/>
              </w:rPr>
              <w:t xml:space="preserve"> </w:t>
            </w:r>
            <w:r w:rsidR="00DE086E" w:rsidRPr="00A41A00">
              <w:rPr>
                <w:rFonts w:ascii="Century" w:hAnsi="Century"/>
                <w:color w:val="404040"/>
              </w:rPr>
              <w:t>are</w:t>
            </w:r>
            <w:r w:rsidRPr="00A41A00">
              <w:rPr>
                <w:rFonts w:ascii="Century" w:hAnsi="Century"/>
                <w:color w:val="404040"/>
              </w:rPr>
              <w:t xml:space="preserve"> </w:t>
            </w:r>
            <w:smartTag w:uri="urn:schemas-microsoft-com:office:smarttags" w:element="stockticker">
              <w:r w:rsidRPr="00A41A00">
                <w:rPr>
                  <w:rFonts w:ascii="Century" w:hAnsi="Century"/>
                  <w:color w:val="404040"/>
                </w:rPr>
                <w:t>TPL</w:t>
              </w:r>
            </w:smartTag>
            <w:r w:rsidRPr="00A41A00">
              <w:rPr>
                <w:rFonts w:ascii="Century" w:hAnsi="Century"/>
                <w:color w:val="404040"/>
              </w:rPr>
              <w:t xml:space="preserve">, </w:t>
            </w:r>
            <w:r w:rsidR="008D4603" w:rsidRPr="00A41A00">
              <w:rPr>
                <w:rFonts w:ascii="Century" w:hAnsi="Century"/>
                <w:color w:val="404040"/>
              </w:rPr>
              <w:t>16</w:t>
            </w:r>
            <w:r w:rsidRPr="00A41A00">
              <w:rPr>
                <w:rFonts w:ascii="Century" w:hAnsi="Century"/>
                <w:color w:val="404040"/>
              </w:rPr>
              <w:t>% is accident, 17% is life and 1</w:t>
            </w:r>
            <w:r w:rsidR="008D4603" w:rsidRPr="00A41A00">
              <w:rPr>
                <w:rFonts w:ascii="Century" w:hAnsi="Century"/>
                <w:color w:val="404040"/>
              </w:rPr>
              <w:t>4</w:t>
            </w:r>
            <w:r w:rsidRPr="00A41A00">
              <w:rPr>
                <w:rFonts w:ascii="Century" w:hAnsi="Century"/>
                <w:color w:val="404040"/>
              </w:rPr>
              <w:t xml:space="preserve">% is personal accident.  </w:t>
            </w:r>
          </w:p>
          <w:p w:rsidR="00A25FEB" w:rsidRPr="00367FA3" w:rsidRDefault="00A25FEB" w:rsidP="008D17FE">
            <w:pPr>
              <w:rPr>
                <w:rFonts w:ascii="Century" w:hAnsi="Century"/>
                <w:highlight w:val="yellow"/>
                <w:lang w:val="tr-TR"/>
              </w:rPr>
            </w:pPr>
          </w:p>
        </w:tc>
      </w:tr>
      <w:tr w:rsidR="00D86152" w:rsidRPr="00367FA3">
        <w:tc>
          <w:tcPr>
            <w:tcW w:w="9855" w:type="dxa"/>
            <w:gridSpan w:val="5"/>
          </w:tcPr>
          <w:p w:rsidR="00084428" w:rsidRPr="005921D3" w:rsidRDefault="00084428" w:rsidP="00D96FCE">
            <w:pPr>
              <w:pStyle w:val="ResimYazs"/>
              <w:jc w:val="center"/>
              <w:rPr>
                <w:rFonts w:ascii="Century" w:hAnsi="Century"/>
                <w:lang w:val="tr-TR"/>
              </w:rPr>
            </w:pPr>
            <w:bookmarkStart w:id="104" w:name="_Toc170665557"/>
            <w:r w:rsidRPr="005921D3">
              <w:rPr>
                <w:rFonts w:ascii="Century" w:hAnsi="Century"/>
                <w:lang w:val="tr-TR"/>
              </w:rPr>
              <w:t xml:space="preserve">Tablo </w:t>
            </w:r>
            <w:r w:rsidR="00D532F8" w:rsidRPr="005921D3">
              <w:rPr>
                <w:rFonts w:ascii="Century" w:hAnsi="Century"/>
                <w:lang w:val="tr-TR"/>
              </w:rPr>
              <w:t>1.5</w:t>
            </w:r>
            <w:r w:rsidRPr="005921D3">
              <w:rPr>
                <w:rFonts w:ascii="Century" w:hAnsi="Century"/>
                <w:lang w:val="tr-TR"/>
              </w:rPr>
              <w:noBreakHyphen/>
            </w:r>
            <w:r w:rsidRPr="005921D3">
              <w:rPr>
                <w:rFonts w:ascii="Century" w:hAnsi="Century"/>
                <w:lang w:val="tr-TR"/>
              </w:rPr>
              <w:fldChar w:fldCharType="begin"/>
            </w:r>
            <w:r w:rsidRPr="005921D3">
              <w:rPr>
                <w:rFonts w:ascii="Century" w:hAnsi="Century"/>
                <w:lang w:val="tr-TR"/>
              </w:rPr>
              <w:instrText xml:space="preserve"> SEQ Tablo \* ARABIC \s 2 </w:instrText>
            </w:r>
            <w:r w:rsidRPr="005921D3">
              <w:rPr>
                <w:rFonts w:ascii="Century" w:hAnsi="Century"/>
                <w:lang w:val="tr-TR"/>
              </w:rPr>
              <w:fldChar w:fldCharType="separate"/>
            </w:r>
            <w:r w:rsidR="00DA718E">
              <w:rPr>
                <w:rFonts w:ascii="Century" w:hAnsi="Century"/>
                <w:noProof/>
                <w:lang w:val="tr-TR"/>
              </w:rPr>
              <w:t>3</w:t>
            </w:r>
            <w:r w:rsidRPr="005921D3">
              <w:rPr>
                <w:rFonts w:ascii="Century" w:hAnsi="Century"/>
                <w:lang w:val="tr-TR"/>
              </w:rPr>
              <w:fldChar w:fldCharType="end"/>
            </w:r>
            <w:r w:rsidRPr="005921D3">
              <w:rPr>
                <w:rFonts w:ascii="Century" w:hAnsi="Century"/>
                <w:lang w:val="tr-TR"/>
              </w:rPr>
              <w:t>;</w:t>
            </w:r>
            <w:r w:rsidRPr="005921D3">
              <w:rPr>
                <w:rFonts w:ascii="Century" w:hAnsi="Century"/>
                <w:bCs w:val="0"/>
                <w:lang w:val="tr-TR"/>
              </w:rPr>
              <w:t xml:space="preserve"> Branş Bazında Poliçe Adetleri</w:t>
            </w:r>
            <w:r w:rsidRPr="005921D3">
              <w:rPr>
                <w:rFonts w:ascii="Century" w:hAnsi="Century"/>
                <w:b w:val="0"/>
                <w:bCs w:val="0"/>
                <w:lang w:val="tr-TR"/>
              </w:rPr>
              <w:t xml:space="preserve"> – </w:t>
            </w:r>
            <w:r w:rsidRPr="005921D3">
              <w:rPr>
                <w:rFonts w:ascii="Century" w:hAnsi="Century"/>
                <w:b w:val="0"/>
                <w:i/>
                <w:iCs/>
                <w:lang w:val="tr-TR"/>
              </w:rPr>
              <w:t>No. Of Policies Per Branches</w:t>
            </w:r>
            <w:bookmarkEnd w:id="104"/>
          </w:p>
          <w:p w:rsidR="006B3335" w:rsidRPr="00FC792B" w:rsidRDefault="004854C6" w:rsidP="00D81555">
            <w:pPr>
              <w:jc w:val="center"/>
              <w:rPr>
                <w:rFonts w:ascii="Century" w:hAnsi="Century"/>
                <w:lang w:val="tr-TR"/>
              </w:rPr>
            </w:pPr>
            <w:r w:rsidRPr="004854C6">
              <w:rPr>
                <w:rFonts w:ascii="Century" w:hAnsi="Century"/>
                <w:lang w:val="tr-TR"/>
              </w:rPr>
              <w:pict>
                <v:shape id="_x0000_i1075" type="#_x0000_t75" style="width:363.75pt;height:195pt">
                  <v:imagedata r:id="rId65" o:title=""/>
                </v:shape>
              </w:pict>
            </w:r>
          </w:p>
          <w:p w:rsidR="00D81555" w:rsidRPr="00367FA3" w:rsidRDefault="00D81555" w:rsidP="00D81555">
            <w:pPr>
              <w:jc w:val="center"/>
              <w:rPr>
                <w:rFonts w:ascii="Century" w:hAnsi="Century"/>
                <w:highlight w:val="yellow"/>
                <w:lang w:val="tr-TR"/>
              </w:rPr>
            </w:pPr>
          </w:p>
        </w:tc>
      </w:tr>
      <w:tr w:rsidR="00D86152" w:rsidRPr="00367FA3">
        <w:tc>
          <w:tcPr>
            <w:tcW w:w="4815" w:type="dxa"/>
            <w:gridSpan w:val="2"/>
          </w:tcPr>
          <w:p w:rsidR="00084428" w:rsidRPr="00940792" w:rsidRDefault="00BE5C54" w:rsidP="00BE5C54">
            <w:pPr>
              <w:pStyle w:val="Balk3"/>
              <w:keepNext w:val="0"/>
              <w:numPr>
                <w:ilvl w:val="0"/>
                <w:numId w:val="0"/>
              </w:numPr>
              <w:ind w:left="612" w:hanging="612"/>
              <w:rPr>
                <w:rFonts w:ascii="Century" w:hAnsi="Century"/>
                <w:sz w:val="24"/>
                <w:szCs w:val="24"/>
                <w:lang w:val="tr-TR"/>
              </w:rPr>
            </w:pPr>
            <w:bookmarkStart w:id="105" w:name="_Toc170253094"/>
            <w:bookmarkStart w:id="106" w:name="_Toc198287709"/>
            <w:bookmarkStart w:id="107" w:name="_Toc199251256"/>
            <w:r w:rsidRPr="00940792">
              <w:rPr>
                <w:rFonts w:ascii="Century" w:hAnsi="Century"/>
                <w:sz w:val="24"/>
                <w:szCs w:val="24"/>
                <w:lang w:val="tr-TR"/>
              </w:rPr>
              <w:t>1.5.2.</w:t>
            </w:r>
            <w:r w:rsidR="009C59D3" w:rsidRPr="00940792">
              <w:rPr>
                <w:rFonts w:ascii="Century" w:hAnsi="Century"/>
                <w:sz w:val="24"/>
                <w:szCs w:val="24"/>
                <w:lang w:val="tr-TR"/>
              </w:rPr>
              <w:t xml:space="preserve"> </w:t>
            </w:r>
            <w:r w:rsidR="006B3335" w:rsidRPr="00940792">
              <w:rPr>
                <w:rFonts w:ascii="Century" w:hAnsi="Century"/>
                <w:sz w:val="24"/>
                <w:szCs w:val="24"/>
                <w:lang w:val="tr-TR"/>
              </w:rPr>
              <w:t xml:space="preserve">Branş Bazında Üretim ve Ödenen </w:t>
            </w:r>
            <w:r w:rsidRPr="00940792">
              <w:rPr>
                <w:rFonts w:ascii="Century" w:hAnsi="Century"/>
                <w:sz w:val="24"/>
                <w:szCs w:val="24"/>
                <w:lang w:val="tr-TR"/>
              </w:rPr>
              <w:t xml:space="preserve">  </w:t>
            </w:r>
            <w:r w:rsidR="006B3335" w:rsidRPr="00940792">
              <w:rPr>
                <w:rFonts w:ascii="Century" w:hAnsi="Century"/>
                <w:sz w:val="24"/>
                <w:szCs w:val="24"/>
                <w:lang w:val="tr-TR"/>
              </w:rPr>
              <w:t>Hasar</w:t>
            </w:r>
            <w:r w:rsidR="00084428" w:rsidRPr="00940792">
              <w:rPr>
                <w:rFonts w:ascii="Century" w:hAnsi="Century"/>
                <w:sz w:val="24"/>
                <w:szCs w:val="24"/>
                <w:lang w:val="tr-TR"/>
              </w:rPr>
              <w:t xml:space="preserve"> Trendi</w:t>
            </w:r>
            <w:bookmarkEnd w:id="105"/>
            <w:bookmarkEnd w:id="106"/>
            <w:bookmarkEnd w:id="107"/>
          </w:p>
          <w:p w:rsidR="00084428" w:rsidRPr="00940792" w:rsidRDefault="00084428" w:rsidP="008D17FE">
            <w:pPr>
              <w:jc w:val="both"/>
              <w:rPr>
                <w:rFonts w:ascii="Century" w:hAnsi="Century"/>
                <w:lang w:val="tr-TR"/>
              </w:rPr>
            </w:pPr>
          </w:p>
          <w:p w:rsidR="00084428" w:rsidRPr="00940792" w:rsidRDefault="00084428" w:rsidP="008D17FE">
            <w:pPr>
              <w:jc w:val="both"/>
              <w:rPr>
                <w:rFonts w:ascii="Century" w:hAnsi="Century"/>
                <w:lang w:val="tr-TR"/>
              </w:rPr>
            </w:pPr>
            <w:r w:rsidRPr="00940792">
              <w:rPr>
                <w:rFonts w:ascii="Century" w:hAnsi="Century"/>
                <w:lang w:val="tr-TR"/>
              </w:rPr>
              <w:t>Direkt prim üretimi yıllar itibariyle hayat-hayat dışı branş ayrımında incelendiğinde, 2003 yılından itibaren hayat branşı prim üretimindeki artışın yavaşladığı</w:t>
            </w:r>
            <w:r w:rsidR="0001052D" w:rsidRPr="00940792">
              <w:rPr>
                <w:rFonts w:ascii="Century" w:hAnsi="Century"/>
                <w:lang w:val="tr-TR"/>
              </w:rPr>
              <w:t>,</w:t>
            </w:r>
            <w:r w:rsidRPr="00940792">
              <w:rPr>
                <w:rFonts w:ascii="Century" w:hAnsi="Century"/>
                <w:lang w:val="tr-TR"/>
              </w:rPr>
              <w:t xml:space="preserve"> dolayısıyla toplam</w:t>
            </w:r>
            <w:r w:rsidR="00D81555" w:rsidRPr="00940792">
              <w:rPr>
                <w:rFonts w:ascii="Century" w:hAnsi="Century"/>
                <w:lang w:val="tr-TR"/>
              </w:rPr>
              <w:t xml:space="preserve"> </w:t>
            </w:r>
            <w:r w:rsidRPr="00940792">
              <w:rPr>
                <w:rFonts w:ascii="Century" w:hAnsi="Century"/>
                <w:lang w:val="tr-TR"/>
              </w:rPr>
              <w:t>üretim içinde hayat dışı branşların ağırlığında artış olduğu görülmektedir. 200</w:t>
            </w:r>
            <w:r w:rsidR="00940792">
              <w:rPr>
                <w:rFonts w:ascii="Century" w:hAnsi="Century"/>
                <w:lang w:val="tr-TR"/>
              </w:rPr>
              <w:t>7</w:t>
            </w:r>
            <w:r w:rsidRPr="00940792">
              <w:rPr>
                <w:rFonts w:ascii="Century" w:hAnsi="Century"/>
                <w:lang w:val="tr-TR"/>
              </w:rPr>
              <w:t xml:space="preserve"> yılı sektör prim üretiminin %</w:t>
            </w:r>
            <w:r w:rsidR="002547A1" w:rsidRPr="00940792">
              <w:rPr>
                <w:rFonts w:ascii="Century" w:hAnsi="Century"/>
                <w:lang w:val="tr-TR"/>
              </w:rPr>
              <w:t xml:space="preserve"> </w:t>
            </w:r>
            <w:r w:rsidRPr="00940792">
              <w:rPr>
                <w:rFonts w:ascii="Century" w:hAnsi="Century"/>
                <w:lang w:val="tr-TR"/>
              </w:rPr>
              <w:t>8</w:t>
            </w:r>
            <w:r w:rsidR="00940792">
              <w:rPr>
                <w:rFonts w:ascii="Century" w:hAnsi="Century"/>
                <w:lang w:val="tr-TR"/>
              </w:rPr>
              <w:t>8</w:t>
            </w:r>
            <w:r w:rsidRPr="00940792">
              <w:rPr>
                <w:rFonts w:ascii="Century" w:hAnsi="Century"/>
                <w:lang w:val="tr-TR"/>
              </w:rPr>
              <w:t>’i hayat dışı branşlara</w:t>
            </w:r>
            <w:r w:rsidR="0001052D" w:rsidRPr="00940792">
              <w:rPr>
                <w:rFonts w:ascii="Century" w:hAnsi="Century"/>
                <w:lang w:val="tr-TR"/>
              </w:rPr>
              <w:t xml:space="preserve"> ait olup</w:t>
            </w:r>
            <w:r w:rsidRPr="00940792">
              <w:rPr>
                <w:rFonts w:ascii="Century" w:hAnsi="Century"/>
                <w:lang w:val="tr-TR"/>
              </w:rPr>
              <w:t>, hayat dışı branşlar</w:t>
            </w:r>
            <w:r w:rsidR="0001052D" w:rsidRPr="00940792">
              <w:rPr>
                <w:rFonts w:ascii="Century" w:hAnsi="Century"/>
                <w:lang w:val="tr-TR"/>
              </w:rPr>
              <w:t xml:space="preserve">a ait üretimin de </w:t>
            </w:r>
            <w:r w:rsidRPr="00940792">
              <w:rPr>
                <w:rFonts w:ascii="Century" w:hAnsi="Century"/>
                <w:lang w:val="tr-TR"/>
              </w:rPr>
              <w:t>yaklaşık yarısı (%</w:t>
            </w:r>
            <w:r w:rsidR="002547A1" w:rsidRPr="00940792">
              <w:rPr>
                <w:rFonts w:ascii="Century" w:hAnsi="Century"/>
                <w:lang w:val="tr-TR"/>
              </w:rPr>
              <w:t xml:space="preserve"> </w:t>
            </w:r>
            <w:r w:rsidRPr="00940792">
              <w:rPr>
                <w:rFonts w:ascii="Century" w:hAnsi="Century"/>
                <w:lang w:val="tr-TR"/>
              </w:rPr>
              <w:t>4</w:t>
            </w:r>
            <w:r w:rsidR="00940792">
              <w:rPr>
                <w:rFonts w:ascii="Century" w:hAnsi="Century"/>
                <w:lang w:val="tr-TR"/>
              </w:rPr>
              <w:t>8</w:t>
            </w:r>
            <w:r w:rsidRPr="00940792">
              <w:rPr>
                <w:rFonts w:ascii="Century" w:hAnsi="Century"/>
                <w:lang w:val="tr-TR"/>
              </w:rPr>
              <w:t>) oto kaza sigortaların</w:t>
            </w:r>
            <w:r w:rsidR="0001052D" w:rsidRPr="00940792">
              <w:rPr>
                <w:rFonts w:ascii="Century" w:hAnsi="Century"/>
                <w:lang w:val="tr-TR"/>
              </w:rPr>
              <w:t>da gerçekleştirilmiştir.</w:t>
            </w:r>
          </w:p>
          <w:p w:rsidR="00084428" w:rsidRPr="00940792" w:rsidRDefault="00084428" w:rsidP="008D17FE">
            <w:pPr>
              <w:jc w:val="both"/>
              <w:rPr>
                <w:rFonts w:ascii="Century" w:hAnsi="Century"/>
                <w:lang w:val="tr-TR"/>
              </w:rPr>
            </w:pPr>
            <w:r w:rsidRPr="00940792">
              <w:rPr>
                <w:rFonts w:ascii="Century" w:hAnsi="Century"/>
                <w:lang w:val="tr-TR"/>
              </w:rPr>
              <w:lastRenderedPageBreak/>
              <w:t>Hayat</w:t>
            </w:r>
            <w:r w:rsidR="0001052D" w:rsidRPr="00940792">
              <w:rPr>
                <w:rFonts w:ascii="Century" w:hAnsi="Century"/>
                <w:lang w:val="tr-TR"/>
              </w:rPr>
              <w:t xml:space="preserve"> dışı branşlardan yangın branşı</w:t>
            </w:r>
            <w:r w:rsidRPr="00940792">
              <w:rPr>
                <w:rFonts w:ascii="Century" w:hAnsi="Century"/>
                <w:lang w:val="tr-TR"/>
              </w:rPr>
              <w:t xml:space="preserve"> </w:t>
            </w:r>
            <w:r w:rsidR="004C109E">
              <w:rPr>
                <w:rFonts w:ascii="Century" w:hAnsi="Century"/>
                <w:lang w:val="tr-TR"/>
              </w:rPr>
              <w:t>2003-2005 yılları arası</w:t>
            </w:r>
            <w:r w:rsidR="00D845CD" w:rsidRPr="00940792">
              <w:rPr>
                <w:rFonts w:ascii="Century" w:hAnsi="Century"/>
                <w:lang w:val="tr-TR"/>
              </w:rPr>
              <w:t xml:space="preserve"> </w:t>
            </w:r>
            <w:r w:rsidRPr="00940792">
              <w:rPr>
                <w:rFonts w:ascii="Century" w:hAnsi="Century"/>
                <w:lang w:val="tr-TR"/>
              </w:rPr>
              <w:t>azalış eğiliminde iken</w:t>
            </w:r>
            <w:r w:rsidR="00D845CD" w:rsidRPr="00940792">
              <w:rPr>
                <w:rFonts w:ascii="Century" w:hAnsi="Century"/>
                <w:lang w:val="tr-TR"/>
              </w:rPr>
              <w:t>,</w:t>
            </w:r>
            <w:r w:rsidRPr="00940792">
              <w:rPr>
                <w:rFonts w:ascii="Century" w:hAnsi="Century"/>
                <w:lang w:val="tr-TR"/>
              </w:rPr>
              <w:t xml:space="preserve"> 2006</w:t>
            </w:r>
            <w:r w:rsidR="00940792" w:rsidRPr="00940792">
              <w:rPr>
                <w:rFonts w:ascii="Century" w:hAnsi="Century"/>
                <w:lang w:val="tr-TR"/>
              </w:rPr>
              <w:t>’dan itibaren artmaya başlayarak</w:t>
            </w:r>
            <w:r w:rsidRPr="00940792">
              <w:rPr>
                <w:rFonts w:ascii="Century" w:hAnsi="Century"/>
                <w:lang w:val="tr-TR"/>
              </w:rPr>
              <w:t xml:space="preserve"> toplam üretim içindeki payını %</w:t>
            </w:r>
            <w:r w:rsidR="002547A1" w:rsidRPr="00940792">
              <w:rPr>
                <w:rFonts w:ascii="Century" w:hAnsi="Century"/>
                <w:lang w:val="tr-TR"/>
              </w:rPr>
              <w:t xml:space="preserve"> </w:t>
            </w:r>
            <w:r w:rsidRPr="00940792">
              <w:rPr>
                <w:rFonts w:ascii="Century" w:hAnsi="Century"/>
                <w:lang w:val="tr-TR"/>
              </w:rPr>
              <w:t>16</w:t>
            </w:r>
            <w:r w:rsidR="00940792" w:rsidRPr="00940792">
              <w:rPr>
                <w:rFonts w:ascii="Century" w:hAnsi="Century"/>
                <w:lang w:val="tr-TR"/>
              </w:rPr>
              <w:t xml:space="preserve"> seviyesine </w:t>
            </w:r>
            <w:r w:rsidRPr="00940792">
              <w:rPr>
                <w:rFonts w:ascii="Century" w:hAnsi="Century"/>
                <w:lang w:val="tr-TR"/>
              </w:rPr>
              <w:t xml:space="preserve">yükseltmiştir. </w:t>
            </w:r>
            <w:r w:rsidR="0001052D" w:rsidRPr="00940792">
              <w:rPr>
                <w:rFonts w:ascii="Century" w:hAnsi="Century"/>
                <w:lang w:val="tr-TR"/>
              </w:rPr>
              <w:t>TRAMER</w:t>
            </w:r>
            <w:r w:rsidRPr="00940792">
              <w:rPr>
                <w:rFonts w:ascii="Century" w:hAnsi="Century"/>
                <w:lang w:val="tr-TR"/>
              </w:rPr>
              <w:t xml:space="preserve"> sistemine geçiş ile sigortalılık oranın</w:t>
            </w:r>
            <w:r w:rsidR="0001052D" w:rsidRPr="00940792">
              <w:rPr>
                <w:rFonts w:ascii="Century" w:hAnsi="Century"/>
                <w:lang w:val="tr-TR"/>
              </w:rPr>
              <w:t>daki artışın</w:t>
            </w:r>
            <w:r w:rsidRPr="00940792">
              <w:rPr>
                <w:rFonts w:ascii="Century" w:hAnsi="Century"/>
                <w:lang w:val="tr-TR"/>
              </w:rPr>
              <w:t xml:space="preserve"> etkisiyle 2004 yılında trafik sigortası üretiminde %</w:t>
            </w:r>
            <w:r w:rsidR="002547A1" w:rsidRPr="00940792">
              <w:rPr>
                <w:rFonts w:ascii="Century" w:hAnsi="Century"/>
                <w:lang w:val="tr-TR"/>
              </w:rPr>
              <w:t xml:space="preserve"> </w:t>
            </w:r>
            <w:r w:rsidRPr="00940792">
              <w:rPr>
                <w:rFonts w:ascii="Century" w:hAnsi="Century"/>
                <w:lang w:val="tr-TR"/>
              </w:rPr>
              <w:t>65 oranında artış sağlan</w:t>
            </w:r>
            <w:r w:rsidR="0001052D" w:rsidRPr="00940792">
              <w:rPr>
                <w:rFonts w:ascii="Century" w:hAnsi="Century"/>
                <w:lang w:val="tr-TR"/>
              </w:rPr>
              <w:t>mış ve</w:t>
            </w:r>
            <w:r w:rsidRPr="00940792">
              <w:rPr>
                <w:rFonts w:ascii="Century" w:hAnsi="Century"/>
                <w:lang w:val="tr-TR"/>
              </w:rPr>
              <w:t xml:space="preserve"> bu branşın toplam üretim içindeki payı %</w:t>
            </w:r>
            <w:r w:rsidR="002547A1" w:rsidRPr="00940792">
              <w:rPr>
                <w:rFonts w:ascii="Century" w:hAnsi="Century"/>
                <w:lang w:val="tr-TR"/>
              </w:rPr>
              <w:t xml:space="preserve"> </w:t>
            </w:r>
            <w:r w:rsidRPr="00940792">
              <w:rPr>
                <w:rFonts w:ascii="Century" w:hAnsi="Century"/>
                <w:lang w:val="tr-TR"/>
              </w:rPr>
              <w:t>14’</w:t>
            </w:r>
            <w:r w:rsidR="004C109E">
              <w:rPr>
                <w:rFonts w:ascii="Century" w:hAnsi="Century"/>
                <w:lang w:val="tr-TR"/>
              </w:rPr>
              <w:t>l</w:t>
            </w:r>
            <w:r w:rsidRPr="00940792">
              <w:rPr>
                <w:rFonts w:ascii="Century" w:hAnsi="Century"/>
                <w:lang w:val="tr-TR"/>
              </w:rPr>
              <w:t>e</w:t>
            </w:r>
            <w:r w:rsidR="004C109E">
              <w:rPr>
                <w:rFonts w:ascii="Century" w:hAnsi="Century"/>
                <w:lang w:val="tr-TR"/>
              </w:rPr>
              <w:t>r seviyesine</w:t>
            </w:r>
            <w:r w:rsidRPr="00940792">
              <w:rPr>
                <w:rFonts w:ascii="Century" w:hAnsi="Century"/>
                <w:lang w:val="tr-TR"/>
              </w:rPr>
              <w:t xml:space="preserve"> yükselmiştir. Diğer branşların toplam üretim içindeki paylarında önemli bir değişiklik olmamıştır. </w:t>
            </w:r>
          </w:p>
          <w:p w:rsidR="00E9638A" w:rsidRPr="00367FA3" w:rsidRDefault="00E9638A"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highlight w:val="yellow"/>
                <w:lang w:val="tr-TR"/>
              </w:rPr>
            </w:pPr>
          </w:p>
          <w:p w:rsidR="00A25FEB" w:rsidRPr="00A41A00" w:rsidRDefault="00BE5C54" w:rsidP="009C59D3">
            <w:pPr>
              <w:ind w:left="709" w:hanging="709"/>
              <w:jc w:val="both"/>
              <w:rPr>
                <w:rFonts w:ascii="Century" w:hAnsi="Century"/>
                <w:b/>
                <w:color w:val="404040"/>
              </w:rPr>
            </w:pPr>
            <w:r w:rsidRPr="00940792">
              <w:rPr>
                <w:rFonts w:ascii="Century" w:hAnsi="Century"/>
                <w:b/>
                <w:color w:val="1C1C1C"/>
              </w:rPr>
              <w:t>1</w:t>
            </w:r>
            <w:r w:rsidRPr="00A41A00">
              <w:rPr>
                <w:rFonts w:ascii="Century" w:hAnsi="Century"/>
                <w:b/>
                <w:color w:val="404040"/>
              </w:rPr>
              <w:t>.5.2.</w:t>
            </w:r>
            <w:r w:rsidR="009C59D3" w:rsidRPr="00A41A00">
              <w:rPr>
                <w:rFonts w:ascii="Century" w:hAnsi="Century"/>
                <w:b/>
                <w:color w:val="404040"/>
              </w:rPr>
              <w:t xml:space="preserve"> </w:t>
            </w:r>
            <w:r w:rsidR="00A25FEB" w:rsidRPr="00A41A00">
              <w:rPr>
                <w:rFonts w:ascii="Century" w:hAnsi="Century"/>
                <w:b/>
                <w:color w:val="404040"/>
              </w:rPr>
              <w:t>Trends of Premi</w:t>
            </w:r>
            <w:r w:rsidR="00752D5D" w:rsidRPr="00A41A00">
              <w:rPr>
                <w:rFonts w:ascii="Century" w:hAnsi="Century"/>
                <w:b/>
                <w:color w:val="404040"/>
              </w:rPr>
              <w:t>ums and Paid Losses per Branch</w:t>
            </w:r>
          </w:p>
          <w:p w:rsidR="00A25FEB" w:rsidRPr="00A41A00" w:rsidRDefault="00A25FEB" w:rsidP="008D17FE">
            <w:pPr>
              <w:rPr>
                <w:rFonts w:ascii="Century" w:hAnsi="Century"/>
                <w:color w:val="404040"/>
                <w:lang w:val="tr-TR"/>
              </w:rPr>
            </w:pPr>
          </w:p>
          <w:p w:rsidR="00A25FEB" w:rsidRPr="00A41A00" w:rsidRDefault="00A25FEB" w:rsidP="00A25FEB">
            <w:pPr>
              <w:jc w:val="both"/>
              <w:rPr>
                <w:rFonts w:ascii="Century" w:hAnsi="Century"/>
                <w:color w:val="404040"/>
              </w:rPr>
            </w:pPr>
            <w:r w:rsidRPr="00A41A00">
              <w:rPr>
                <w:rFonts w:ascii="Century" w:hAnsi="Century"/>
                <w:color w:val="404040"/>
              </w:rPr>
              <w:t>It is observed that there is a slowdown in life branch premium volume since 2003 therefore the share of non</w:t>
            </w:r>
            <w:r w:rsidR="00AB220A" w:rsidRPr="00A41A00">
              <w:rPr>
                <w:rFonts w:ascii="Century" w:hAnsi="Century"/>
                <w:color w:val="404040"/>
              </w:rPr>
              <w:t>-</w:t>
            </w:r>
            <w:r w:rsidRPr="00A41A00">
              <w:rPr>
                <w:rFonts w:ascii="Century" w:hAnsi="Century"/>
                <w:color w:val="404040"/>
              </w:rPr>
              <w:t>life branches in total volume increases</w:t>
            </w:r>
            <w:r w:rsidR="00940792" w:rsidRPr="00A41A00">
              <w:rPr>
                <w:rFonts w:ascii="Century" w:hAnsi="Century"/>
                <w:color w:val="404040"/>
              </w:rPr>
              <w:t>. 88</w:t>
            </w:r>
            <w:r w:rsidRPr="00A41A00">
              <w:rPr>
                <w:rFonts w:ascii="Century" w:hAnsi="Century"/>
                <w:color w:val="404040"/>
              </w:rPr>
              <w:t>% of sector premium volume in 200</w:t>
            </w:r>
            <w:r w:rsidR="00940792" w:rsidRPr="00A41A00">
              <w:rPr>
                <w:rFonts w:ascii="Century" w:hAnsi="Century"/>
                <w:color w:val="404040"/>
              </w:rPr>
              <w:t>7</w:t>
            </w:r>
            <w:r w:rsidRPr="00A41A00">
              <w:rPr>
                <w:rFonts w:ascii="Century" w:hAnsi="Century"/>
                <w:color w:val="404040"/>
              </w:rPr>
              <w:t xml:space="preserve"> belongs to non–life branches in which approximately half of premium volume (4</w:t>
            </w:r>
            <w:r w:rsidR="00940792" w:rsidRPr="00A41A00">
              <w:rPr>
                <w:rFonts w:ascii="Century" w:hAnsi="Century"/>
                <w:color w:val="404040"/>
              </w:rPr>
              <w:t>8</w:t>
            </w:r>
            <w:r w:rsidRPr="00A41A00">
              <w:rPr>
                <w:rFonts w:ascii="Century" w:hAnsi="Century"/>
                <w:color w:val="404040"/>
              </w:rPr>
              <w:t>%) is written in accident insurance.</w:t>
            </w:r>
          </w:p>
          <w:p w:rsidR="00A25FEB" w:rsidRPr="00A41A00" w:rsidRDefault="00A25FEB" w:rsidP="008D17FE">
            <w:pPr>
              <w:rPr>
                <w:rFonts w:ascii="Century" w:hAnsi="Century"/>
                <w:color w:val="404040"/>
                <w:lang w:val="tr-TR"/>
              </w:rPr>
            </w:pPr>
          </w:p>
          <w:p w:rsidR="00A25FEB" w:rsidRPr="00367FA3" w:rsidRDefault="00A25FEB" w:rsidP="008D17FE">
            <w:pPr>
              <w:rPr>
                <w:rFonts w:ascii="Century" w:hAnsi="Century"/>
                <w:color w:val="1C1C1C"/>
                <w:highlight w:val="yellow"/>
                <w:lang w:val="tr-TR"/>
              </w:rPr>
            </w:pPr>
          </w:p>
          <w:p w:rsidR="00A25FEB" w:rsidRPr="00367FA3" w:rsidRDefault="00A25FEB" w:rsidP="008D17FE">
            <w:pPr>
              <w:rPr>
                <w:rFonts w:ascii="Century" w:hAnsi="Century"/>
                <w:color w:val="1C1C1C"/>
                <w:highlight w:val="yellow"/>
                <w:lang w:val="tr-TR"/>
              </w:rPr>
            </w:pPr>
          </w:p>
          <w:p w:rsidR="00A25FEB" w:rsidRPr="00A41A00" w:rsidRDefault="00A25FEB" w:rsidP="00A25FEB">
            <w:pPr>
              <w:jc w:val="both"/>
              <w:rPr>
                <w:rFonts w:ascii="Century" w:hAnsi="Century"/>
                <w:color w:val="404040"/>
              </w:rPr>
            </w:pPr>
            <w:r w:rsidRPr="00A41A00">
              <w:rPr>
                <w:rFonts w:ascii="Century" w:hAnsi="Century"/>
                <w:color w:val="404040"/>
              </w:rPr>
              <w:lastRenderedPageBreak/>
              <w:t xml:space="preserve">While the fire branch has a decreasing trend </w:t>
            </w:r>
            <w:r w:rsidR="004C109E">
              <w:rPr>
                <w:rFonts w:ascii="Century" w:hAnsi="Century"/>
                <w:color w:val="404040"/>
              </w:rPr>
              <w:t>between 2003-2005</w:t>
            </w:r>
            <w:r w:rsidRPr="00A41A00">
              <w:rPr>
                <w:rFonts w:ascii="Century" w:hAnsi="Century"/>
                <w:color w:val="404040"/>
              </w:rPr>
              <w:t xml:space="preserve">, the premium volume is increased </w:t>
            </w:r>
            <w:r w:rsidR="00940792" w:rsidRPr="00A41A00">
              <w:rPr>
                <w:rFonts w:ascii="Century" w:hAnsi="Century"/>
                <w:color w:val="404040"/>
              </w:rPr>
              <w:t>from</w:t>
            </w:r>
            <w:r w:rsidRPr="00A41A00">
              <w:rPr>
                <w:rFonts w:ascii="Century" w:hAnsi="Century"/>
                <w:color w:val="404040"/>
              </w:rPr>
              <w:t xml:space="preserve"> 2006, raising its share to 16% in total volume. With the establishment of </w:t>
            </w:r>
            <w:smartTag w:uri="urn:schemas-microsoft-com:office:smarttags" w:element="place">
              <w:smartTag w:uri="urn:schemas-microsoft-com:office:smarttags" w:element="PlaceName">
                <w:r w:rsidRPr="00A41A00">
                  <w:rPr>
                    <w:rFonts w:ascii="Century" w:hAnsi="Century"/>
                    <w:color w:val="404040"/>
                  </w:rPr>
                  <w:t>Motor</w:t>
                </w:r>
              </w:smartTag>
              <w:r w:rsidRPr="00A41A00">
                <w:rPr>
                  <w:rFonts w:ascii="Century" w:hAnsi="Century"/>
                  <w:color w:val="404040"/>
                </w:rPr>
                <w:t xml:space="preserve"> </w:t>
              </w:r>
              <w:smartTag w:uri="urn:schemas-microsoft-com:office:smarttags" w:element="PlaceName">
                <w:smartTag w:uri="urn:schemas-microsoft-com:office:smarttags" w:element="stockticker">
                  <w:r w:rsidRPr="00A41A00">
                    <w:rPr>
                      <w:rFonts w:ascii="Century" w:hAnsi="Century"/>
                      <w:color w:val="404040"/>
                    </w:rPr>
                    <w:t>TPL</w:t>
                  </w:r>
                </w:smartTag>
              </w:smartTag>
              <w:r w:rsidRPr="00A41A00">
                <w:rPr>
                  <w:rFonts w:ascii="Century" w:hAnsi="Century"/>
                  <w:color w:val="404040"/>
                </w:rPr>
                <w:t xml:space="preserve"> </w:t>
              </w:r>
              <w:smartTag w:uri="urn:schemas-microsoft-com:office:smarttags" w:element="PlaceName">
                <w:r w:rsidRPr="00A41A00">
                  <w:rPr>
                    <w:rFonts w:ascii="Century" w:hAnsi="Century"/>
                    <w:color w:val="404040"/>
                  </w:rPr>
                  <w:t>Insurance</w:t>
                </w:r>
              </w:smartTag>
              <w:r w:rsidRPr="00A41A00">
                <w:rPr>
                  <w:rFonts w:ascii="Century" w:hAnsi="Century"/>
                  <w:color w:val="404040"/>
                </w:rPr>
                <w:t xml:space="preserve"> </w:t>
              </w:r>
              <w:smartTag w:uri="urn:schemas-microsoft-com:office:smarttags" w:element="PlaceName">
                <w:r w:rsidRPr="00A41A00">
                  <w:rPr>
                    <w:rFonts w:ascii="Century" w:hAnsi="Century"/>
                    <w:color w:val="404040"/>
                  </w:rPr>
                  <w:t>Information</w:t>
                </w:r>
              </w:smartTag>
              <w:r w:rsidRPr="00A41A00">
                <w:rPr>
                  <w:rFonts w:ascii="Century" w:hAnsi="Century"/>
                  <w:color w:val="404040"/>
                </w:rPr>
                <w:t xml:space="preserve"> </w:t>
              </w:r>
              <w:smartTag w:uri="urn:schemas-microsoft-com:office:smarttags" w:element="PlaceType">
                <w:r w:rsidRPr="00A41A00">
                  <w:rPr>
                    <w:rFonts w:ascii="Century" w:hAnsi="Century"/>
                    <w:color w:val="404040"/>
                  </w:rPr>
                  <w:t>Center</w:t>
                </w:r>
              </w:smartTag>
            </w:smartTag>
            <w:r w:rsidRPr="00A41A00">
              <w:rPr>
                <w:rFonts w:ascii="Century" w:hAnsi="Century"/>
                <w:color w:val="404040"/>
              </w:rPr>
              <w:t xml:space="preserve"> in 2004, the insurability rate for </w:t>
            </w:r>
            <w:smartTag w:uri="urn:schemas-microsoft-com:office:smarttags" w:element="stockticker">
              <w:r w:rsidRPr="00A41A00">
                <w:rPr>
                  <w:rFonts w:ascii="Century" w:hAnsi="Century"/>
                  <w:color w:val="404040"/>
                </w:rPr>
                <w:t>TPL</w:t>
              </w:r>
            </w:smartTag>
            <w:r w:rsidRPr="00A41A00">
              <w:rPr>
                <w:rFonts w:ascii="Century" w:hAnsi="Century"/>
                <w:color w:val="404040"/>
              </w:rPr>
              <w:t xml:space="preserve"> has increased rapidly (65%) raising the share of premium volume to 14% in total premium volume. The shares of other branches in premium volume remained same.</w:t>
            </w:r>
          </w:p>
          <w:p w:rsidR="00A25FEB" w:rsidRPr="00367FA3" w:rsidRDefault="00A25FEB" w:rsidP="008D17FE">
            <w:pPr>
              <w:rPr>
                <w:rFonts w:ascii="Century" w:hAnsi="Century"/>
                <w:highlight w:val="yellow"/>
                <w:lang w:val="tr-TR"/>
              </w:rPr>
            </w:pPr>
          </w:p>
        </w:tc>
      </w:tr>
      <w:tr w:rsidR="00D86152" w:rsidRPr="00367FA3">
        <w:tc>
          <w:tcPr>
            <w:tcW w:w="9855" w:type="dxa"/>
            <w:gridSpan w:val="5"/>
          </w:tcPr>
          <w:p w:rsidR="00084428" w:rsidRPr="00940792" w:rsidRDefault="00084428" w:rsidP="000E4682">
            <w:pPr>
              <w:pStyle w:val="ResimYazs"/>
              <w:jc w:val="center"/>
              <w:rPr>
                <w:rFonts w:ascii="Century" w:hAnsi="Century"/>
                <w:b w:val="0"/>
                <w:lang w:val="tr-TR"/>
              </w:rPr>
            </w:pPr>
            <w:bookmarkStart w:id="108" w:name="_Toc170665558"/>
            <w:r w:rsidRPr="00940792">
              <w:rPr>
                <w:rFonts w:ascii="Century" w:hAnsi="Century"/>
                <w:lang w:val="tr-TR"/>
              </w:rPr>
              <w:lastRenderedPageBreak/>
              <w:t xml:space="preserve">Tablo </w:t>
            </w:r>
            <w:r w:rsidR="00D532F8" w:rsidRPr="00940792">
              <w:rPr>
                <w:rFonts w:ascii="Century" w:hAnsi="Century"/>
                <w:lang w:val="tr-TR"/>
              </w:rPr>
              <w:t>1.5</w:t>
            </w:r>
            <w:r w:rsidRPr="00940792">
              <w:rPr>
                <w:rFonts w:ascii="Century" w:hAnsi="Century"/>
                <w:lang w:val="tr-TR"/>
              </w:rPr>
              <w:noBreakHyphen/>
            </w:r>
            <w:r w:rsidRPr="00940792">
              <w:rPr>
                <w:rFonts w:ascii="Century" w:hAnsi="Century"/>
                <w:lang w:val="tr-TR"/>
              </w:rPr>
              <w:fldChar w:fldCharType="begin"/>
            </w:r>
            <w:r w:rsidRPr="00940792">
              <w:rPr>
                <w:rFonts w:ascii="Century" w:hAnsi="Century"/>
                <w:lang w:val="tr-TR"/>
              </w:rPr>
              <w:instrText xml:space="preserve"> SEQ Tablo \* ARABIC \s 2 </w:instrText>
            </w:r>
            <w:r w:rsidRPr="00940792">
              <w:rPr>
                <w:rFonts w:ascii="Century" w:hAnsi="Century"/>
                <w:lang w:val="tr-TR"/>
              </w:rPr>
              <w:fldChar w:fldCharType="separate"/>
            </w:r>
            <w:r w:rsidR="00DA718E">
              <w:rPr>
                <w:rFonts w:ascii="Century" w:hAnsi="Century"/>
                <w:noProof/>
                <w:lang w:val="tr-TR"/>
              </w:rPr>
              <w:t>4</w:t>
            </w:r>
            <w:r w:rsidRPr="00940792">
              <w:rPr>
                <w:rFonts w:ascii="Century" w:hAnsi="Century"/>
                <w:lang w:val="tr-TR"/>
              </w:rPr>
              <w:fldChar w:fldCharType="end"/>
            </w:r>
            <w:r w:rsidRPr="00940792">
              <w:rPr>
                <w:rFonts w:ascii="Century" w:hAnsi="Century"/>
                <w:lang w:val="tr-TR"/>
              </w:rPr>
              <w:t xml:space="preserve">; </w:t>
            </w:r>
            <w:r w:rsidRPr="00940792">
              <w:rPr>
                <w:rFonts w:ascii="Century" w:hAnsi="Century"/>
                <w:bCs w:val="0"/>
                <w:lang w:val="tr-TR"/>
              </w:rPr>
              <w:t xml:space="preserve">Direkt Primler ve Toplamdaki Payları - </w:t>
            </w:r>
            <w:r w:rsidRPr="00940792">
              <w:rPr>
                <w:rFonts w:ascii="Century" w:hAnsi="Century"/>
                <w:b w:val="0"/>
                <w:i/>
                <w:iCs/>
                <w:lang w:val="tr-TR"/>
              </w:rPr>
              <w:t>Direct Prem.and Divisions</w:t>
            </w:r>
            <w:bookmarkEnd w:id="108"/>
          </w:p>
          <w:p w:rsidR="00D86152" w:rsidRPr="006252BA" w:rsidRDefault="006252BA" w:rsidP="000E4682">
            <w:pPr>
              <w:jc w:val="center"/>
              <w:rPr>
                <w:rFonts w:ascii="Century" w:hAnsi="Century"/>
                <w:highlight w:val="yellow"/>
                <w:lang w:val="tr-TR"/>
              </w:rPr>
            </w:pPr>
            <w:r w:rsidRPr="006252BA">
              <w:rPr>
                <w:rFonts w:ascii="Century" w:hAnsi="Century"/>
                <w:lang w:val="tr-TR"/>
              </w:rPr>
              <w:pict>
                <v:shape id="_x0000_i1076" type="#_x0000_t75" style="width:481.5pt;height:183.75pt">
                  <v:imagedata r:id="rId66" o:title=""/>
                </v:shape>
              </w:pict>
            </w:r>
          </w:p>
        </w:tc>
      </w:tr>
      <w:tr w:rsidR="00622E8B" w:rsidRPr="00367FA3">
        <w:trPr>
          <w:gridAfter w:val="2"/>
          <w:wAfter w:w="4815" w:type="dxa"/>
        </w:trPr>
        <w:tc>
          <w:tcPr>
            <w:tcW w:w="236" w:type="dxa"/>
          </w:tcPr>
          <w:p w:rsidR="00622E8B" w:rsidRPr="00367FA3" w:rsidRDefault="00622E8B" w:rsidP="008D17FE">
            <w:pPr>
              <w:rPr>
                <w:rFonts w:ascii="Century" w:hAnsi="Century"/>
                <w:highlight w:val="yellow"/>
                <w:lang w:val="tr-TR"/>
              </w:rPr>
            </w:pPr>
          </w:p>
        </w:tc>
        <w:tc>
          <w:tcPr>
            <w:tcW w:w="4804" w:type="dxa"/>
            <w:gridSpan w:val="2"/>
          </w:tcPr>
          <w:p w:rsidR="00622E8B" w:rsidRPr="00367FA3" w:rsidRDefault="00622E8B" w:rsidP="00622E8B">
            <w:pPr>
              <w:jc w:val="both"/>
              <w:rPr>
                <w:rFonts w:ascii="Century" w:hAnsi="Century"/>
                <w:color w:val="595959"/>
                <w:highlight w:val="yellow"/>
                <w:lang w:val="tr-TR"/>
              </w:rPr>
            </w:pPr>
          </w:p>
        </w:tc>
      </w:tr>
      <w:tr w:rsidR="00D86152" w:rsidRPr="00367FA3">
        <w:tc>
          <w:tcPr>
            <w:tcW w:w="4815" w:type="dxa"/>
            <w:gridSpan w:val="2"/>
          </w:tcPr>
          <w:p w:rsidR="00C31734" w:rsidRPr="00C31734" w:rsidRDefault="00084428" w:rsidP="008D17FE">
            <w:pPr>
              <w:jc w:val="both"/>
              <w:rPr>
                <w:rFonts w:ascii="Century" w:hAnsi="Century"/>
                <w:lang w:val="tr-TR"/>
              </w:rPr>
            </w:pPr>
            <w:r w:rsidRPr="00C31734">
              <w:rPr>
                <w:rFonts w:ascii="Century" w:hAnsi="Century"/>
                <w:lang w:val="tr-TR"/>
              </w:rPr>
              <w:t>Yıllar itibariyle direkt işlere ilişkin ödenen tazminatlar incelendiğinde ise, hayat branşında portföyden çıkan poliçelerin iştira ödemelerindeki artış dolayısıyla bu branş</w:t>
            </w:r>
            <w:r w:rsidR="0001052D" w:rsidRPr="00C31734">
              <w:rPr>
                <w:rFonts w:ascii="Century" w:hAnsi="Century"/>
                <w:lang w:val="tr-TR"/>
              </w:rPr>
              <w:t>ın</w:t>
            </w:r>
            <w:r w:rsidRPr="00C31734">
              <w:rPr>
                <w:rFonts w:ascii="Century" w:hAnsi="Century"/>
                <w:lang w:val="tr-TR"/>
              </w:rPr>
              <w:t xml:space="preserve"> ödenen tazminat payında </w:t>
            </w:r>
            <w:r w:rsidR="00C31734" w:rsidRPr="00C31734">
              <w:rPr>
                <w:rFonts w:ascii="Century" w:hAnsi="Century"/>
                <w:lang w:val="tr-TR"/>
              </w:rPr>
              <w:t>2006 yılına kadar artış yaşanmış ve % 24’e kadar yükselmiştir. 2007 yılında iştira ödemelerindeki azalış dolayısıyla toplam ödenen tazminatlar içinde hayat branşının payı % 14’e gerilemiştir.</w:t>
            </w:r>
            <w:r w:rsidRPr="00C31734">
              <w:rPr>
                <w:rFonts w:ascii="Century" w:hAnsi="Century"/>
                <w:lang w:val="tr-TR"/>
              </w:rPr>
              <w:t xml:space="preserve"> </w:t>
            </w:r>
          </w:p>
          <w:p w:rsidR="00C31734" w:rsidRPr="00622E8B" w:rsidRDefault="00C31734" w:rsidP="008D17FE">
            <w:pPr>
              <w:jc w:val="both"/>
              <w:rPr>
                <w:rFonts w:ascii="Century" w:hAnsi="Century"/>
                <w:sz w:val="20"/>
                <w:szCs w:val="20"/>
                <w:lang w:val="tr-TR"/>
              </w:rPr>
            </w:pPr>
          </w:p>
          <w:p w:rsidR="00084428" w:rsidRPr="00C31734" w:rsidRDefault="00084428" w:rsidP="008D17FE">
            <w:pPr>
              <w:jc w:val="both"/>
              <w:rPr>
                <w:rFonts w:ascii="Century" w:hAnsi="Century"/>
                <w:lang w:val="tr-TR"/>
              </w:rPr>
            </w:pPr>
            <w:r w:rsidRPr="00C31734">
              <w:rPr>
                <w:rFonts w:ascii="Century" w:hAnsi="Century"/>
                <w:lang w:val="tr-TR"/>
              </w:rPr>
              <w:t>200</w:t>
            </w:r>
            <w:r w:rsidR="00C31734" w:rsidRPr="00C31734">
              <w:rPr>
                <w:rFonts w:ascii="Century" w:hAnsi="Century"/>
                <w:lang w:val="tr-TR"/>
              </w:rPr>
              <w:t>7</w:t>
            </w:r>
            <w:r w:rsidRPr="00C31734">
              <w:rPr>
                <w:rFonts w:ascii="Century" w:hAnsi="Century"/>
                <w:lang w:val="tr-TR"/>
              </w:rPr>
              <w:t xml:space="preserve"> yılı hayat dışı branşlar prim üretiminin %</w:t>
            </w:r>
            <w:r w:rsidR="002547A1" w:rsidRPr="00C31734">
              <w:rPr>
                <w:rFonts w:ascii="Century" w:hAnsi="Century"/>
                <w:lang w:val="tr-TR"/>
              </w:rPr>
              <w:t xml:space="preserve"> </w:t>
            </w:r>
            <w:r w:rsidRPr="00C31734">
              <w:rPr>
                <w:rFonts w:ascii="Century" w:hAnsi="Century"/>
                <w:lang w:val="tr-TR"/>
              </w:rPr>
              <w:t>4</w:t>
            </w:r>
            <w:r w:rsidR="00C31734" w:rsidRPr="00C31734">
              <w:rPr>
                <w:rFonts w:ascii="Century" w:hAnsi="Century"/>
                <w:lang w:val="tr-TR"/>
              </w:rPr>
              <w:t>8</w:t>
            </w:r>
            <w:r w:rsidRPr="00C31734">
              <w:rPr>
                <w:rFonts w:ascii="Century" w:hAnsi="Century"/>
                <w:lang w:val="tr-TR"/>
              </w:rPr>
              <w:t>’</w:t>
            </w:r>
            <w:r w:rsidR="00C31734" w:rsidRPr="00C31734">
              <w:rPr>
                <w:rFonts w:ascii="Century" w:hAnsi="Century"/>
                <w:lang w:val="tr-TR"/>
              </w:rPr>
              <w:t>i</w:t>
            </w:r>
            <w:r w:rsidRPr="00C31734">
              <w:rPr>
                <w:rFonts w:ascii="Century" w:hAnsi="Century"/>
                <w:lang w:val="tr-TR"/>
              </w:rPr>
              <w:t xml:space="preserve"> oto kaza sigortalarına</w:t>
            </w:r>
            <w:r w:rsidR="00C31734" w:rsidRPr="00C31734">
              <w:rPr>
                <w:rFonts w:ascii="Century" w:hAnsi="Century"/>
                <w:lang w:val="tr-TR"/>
              </w:rPr>
              <w:t xml:space="preserve"> (trafik ve kasko)</w:t>
            </w:r>
            <w:r w:rsidRPr="00C31734">
              <w:rPr>
                <w:rFonts w:ascii="Century" w:hAnsi="Century"/>
                <w:lang w:val="tr-TR"/>
              </w:rPr>
              <w:t xml:space="preserve"> ilişkin iken, bu oran ödenen tazminatlarda %</w:t>
            </w:r>
            <w:r w:rsidR="002547A1" w:rsidRPr="00C31734">
              <w:rPr>
                <w:rFonts w:ascii="Century" w:hAnsi="Century"/>
                <w:lang w:val="tr-TR"/>
              </w:rPr>
              <w:t xml:space="preserve"> </w:t>
            </w:r>
            <w:r w:rsidRPr="00C31734">
              <w:rPr>
                <w:rFonts w:ascii="Century" w:hAnsi="Century"/>
                <w:lang w:val="tr-TR"/>
              </w:rPr>
              <w:t>6</w:t>
            </w:r>
            <w:r w:rsidR="00C31734" w:rsidRPr="00C31734">
              <w:rPr>
                <w:rFonts w:ascii="Century" w:hAnsi="Century"/>
                <w:lang w:val="tr-TR"/>
              </w:rPr>
              <w:t>1</w:t>
            </w:r>
            <w:r w:rsidRPr="00C31734">
              <w:rPr>
                <w:rFonts w:ascii="Century" w:hAnsi="Century"/>
                <w:lang w:val="tr-TR"/>
              </w:rPr>
              <w:t>’e çıkmaktadır.</w:t>
            </w:r>
          </w:p>
          <w:p w:rsidR="00084428" w:rsidRDefault="00084428" w:rsidP="008D17FE">
            <w:pPr>
              <w:jc w:val="both"/>
              <w:rPr>
                <w:rFonts w:ascii="Century" w:hAnsi="Century"/>
                <w:lang w:val="tr-TR"/>
              </w:rPr>
            </w:pPr>
          </w:p>
          <w:p w:rsidR="00864A20" w:rsidRPr="00C31734" w:rsidRDefault="00864A20" w:rsidP="008D17FE">
            <w:pPr>
              <w:jc w:val="both"/>
              <w:rPr>
                <w:rFonts w:ascii="Century" w:hAnsi="Century"/>
                <w:lang w:val="tr-TR"/>
              </w:rPr>
            </w:pPr>
          </w:p>
          <w:p w:rsidR="005D67B5" w:rsidRDefault="00084428" w:rsidP="00530F37">
            <w:pPr>
              <w:jc w:val="both"/>
              <w:rPr>
                <w:rFonts w:ascii="Century" w:hAnsi="Century"/>
                <w:lang w:val="tr-TR"/>
              </w:rPr>
            </w:pPr>
            <w:r w:rsidRPr="00530F37">
              <w:rPr>
                <w:rFonts w:ascii="Century" w:hAnsi="Century"/>
                <w:lang w:val="tr-TR"/>
              </w:rPr>
              <w:lastRenderedPageBreak/>
              <w:t>Yangın ve nakliyat branşların</w:t>
            </w:r>
            <w:r w:rsidR="0001052D" w:rsidRPr="00530F37">
              <w:rPr>
                <w:rFonts w:ascii="Century" w:hAnsi="Century"/>
                <w:lang w:val="tr-TR"/>
              </w:rPr>
              <w:t>ın prim üretimin</w:t>
            </w:r>
            <w:r w:rsidR="00C31734" w:rsidRPr="00530F37">
              <w:rPr>
                <w:rFonts w:ascii="Century" w:hAnsi="Century"/>
                <w:lang w:val="tr-TR"/>
              </w:rPr>
              <w:t xml:space="preserve"> payında</w:t>
            </w:r>
            <w:r w:rsidR="0001052D" w:rsidRPr="00530F37">
              <w:rPr>
                <w:rFonts w:ascii="Century" w:hAnsi="Century"/>
                <w:lang w:val="tr-TR"/>
              </w:rPr>
              <w:t xml:space="preserve"> son yıllarda görülen azalış</w:t>
            </w:r>
            <w:r w:rsidRPr="00530F37">
              <w:rPr>
                <w:rFonts w:ascii="Century" w:hAnsi="Century"/>
                <w:lang w:val="tr-TR"/>
              </w:rPr>
              <w:t xml:space="preserve">a paralel olarak ödenen tazminat </w:t>
            </w:r>
            <w:r w:rsidR="00C31734" w:rsidRPr="00530F37">
              <w:rPr>
                <w:rFonts w:ascii="Century" w:hAnsi="Century"/>
                <w:lang w:val="tr-TR"/>
              </w:rPr>
              <w:t>paylarında da</w:t>
            </w:r>
            <w:r w:rsidRPr="00530F37">
              <w:rPr>
                <w:rFonts w:ascii="Century" w:hAnsi="Century"/>
                <w:lang w:val="tr-TR"/>
              </w:rPr>
              <w:t xml:space="preserve"> azalış olmuştur. </w:t>
            </w:r>
            <w:r w:rsidR="0001052D" w:rsidRPr="00530F37">
              <w:rPr>
                <w:rFonts w:ascii="Century" w:hAnsi="Century"/>
                <w:lang w:val="tr-TR"/>
              </w:rPr>
              <w:t xml:space="preserve">Ancak, </w:t>
            </w:r>
            <w:r w:rsidRPr="00530F37">
              <w:rPr>
                <w:rFonts w:ascii="Century" w:hAnsi="Century"/>
                <w:lang w:val="tr-TR"/>
              </w:rPr>
              <w:t>Yangın branşı</w:t>
            </w:r>
            <w:r w:rsidR="0001052D" w:rsidRPr="00530F37">
              <w:rPr>
                <w:rFonts w:ascii="Century" w:hAnsi="Century"/>
                <w:lang w:val="tr-TR"/>
              </w:rPr>
              <w:t>nda</w:t>
            </w:r>
            <w:r w:rsidRPr="00530F37">
              <w:rPr>
                <w:rFonts w:ascii="Century" w:hAnsi="Century"/>
                <w:lang w:val="tr-TR"/>
              </w:rPr>
              <w:t xml:space="preserve"> 2006 yılı</w:t>
            </w:r>
            <w:r w:rsidR="0001052D" w:rsidRPr="00530F37">
              <w:rPr>
                <w:rFonts w:ascii="Century" w:hAnsi="Century"/>
                <w:lang w:val="tr-TR"/>
              </w:rPr>
              <w:t>nda yaşanan</w:t>
            </w:r>
            <w:r w:rsidRPr="00530F37">
              <w:rPr>
                <w:rFonts w:ascii="Century" w:hAnsi="Century"/>
                <w:lang w:val="tr-TR"/>
              </w:rPr>
              <w:t xml:space="preserve"> </w:t>
            </w:r>
            <w:r w:rsidR="00C31734" w:rsidRPr="00530F37">
              <w:rPr>
                <w:rFonts w:ascii="Century" w:hAnsi="Century"/>
                <w:lang w:val="tr-TR"/>
              </w:rPr>
              <w:t>yüksek oranlı prim artışı, 2007 yılında bu branşın ödenen tazminat payın</w:t>
            </w:r>
            <w:r w:rsidR="00530F37" w:rsidRPr="00530F37">
              <w:rPr>
                <w:rFonts w:ascii="Century" w:hAnsi="Century"/>
                <w:lang w:val="tr-TR"/>
              </w:rPr>
              <w:t xml:space="preserve">ın artması şeklinde yansımıştır. </w:t>
            </w:r>
            <w:r w:rsidRPr="00530F37">
              <w:rPr>
                <w:rFonts w:ascii="Century" w:hAnsi="Century"/>
                <w:lang w:val="tr-TR"/>
              </w:rPr>
              <w:t>Diğer branşlar</w:t>
            </w:r>
            <w:r w:rsidR="0001052D" w:rsidRPr="00530F37">
              <w:rPr>
                <w:rFonts w:ascii="Century" w:hAnsi="Century"/>
                <w:lang w:val="tr-TR"/>
              </w:rPr>
              <w:t>ın</w:t>
            </w:r>
            <w:r w:rsidRPr="00530F37">
              <w:rPr>
                <w:rFonts w:ascii="Century" w:hAnsi="Century"/>
                <w:lang w:val="tr-TR"/>
              </w:rPr>
              <w:t xml:space="preserve"> ödenen tazminat paylarında önemli bir değişiklik </w:t>
            </w:r>
            <w:r w:rsidR="00530F37" w:rsidRPr="00530F37">
              <w:rPr>
                <w:rFonts w:ascii="Century" w:hAnsi="Century"/>
                <w:lang w:val="tr-TR"/>
              </w:rPr>
              <w:t>olmamıştır.</w:t>
            </w:r>
            <w:r w:rsidRPr="00530F37">
              <w:rPr>
                <w:rFonts w:ascii="Century" w:hAnsi="Century"/>
                <w:lang w:val="tr-TR"/>
              </w:rPr>
              <w:t xml:space="preserve"> </w:t>
            </w:r>
          </w:p>
          <w:p w:rsidR="00622E8B" w:rsidRPr="00530F37" w:rsidRDefault="00622E8B" w:rsidP="00530F37">
            <w:pPr>
              <w:jc w:val="both"/>
              <w:rPr>
                <w:rFonts w:ascii="Century" w:hAnsi="Century"/>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530F37" w:rsidRPr="00A41A00" w:rsidRDefault="00B70130" w:rsidP="00A25FEB">
            <w:pPr>
              <w:jc w:val="both"/>
              <w:rPr>
                <w:rFonts w:ascii="Century" w:hAnsi="Century"/>
                <w:color w:val="404040"/>
              </w:rPr>
            </w:pPr>
            <w:r w:rsidRPr="00A41A00">
              <w:rPr>
                <w:rFonts w:ascii="Century" w:hAnsi="Century"/>
                <w:color w:val="404040"/>
              </w:rPr>
              <w:t xml:space="preserve">According to Table1.5-5 which presents direct paid losses per branches, the paid losses in life branches increased rapidly </w:t>
            </w:r>
            <w:r w:rsidR="001C4427" w:rsidRPr="00A41A00">
              <w:rPr>
                <w:rFonts w:ascii="Century" w:hAnsi="Century"/>
                <w:color w:val="404040"/>
              </w:rPr>
              <w:t xml:space="preserve">(up </w:t>
            </w:r>
            <w:r w:rsidR="0045014E">
              <w:rPr>
                <w:rFonts w:ascii="Century" w:hAnsi="Century"/>
                <w:color w:val="404040"/>
              </w:rPr>
              <w:t>t</w:t>
            </w:r>
            <w:r w:rsidR="001C4427" w:rsidRPr="00A41A00">
              <w:rPr>
                <w:rFonts w:ascii="Century" w:hAnsi="Century"/>
                <w:color w:val="404040"/>
              </w:rPr>
              <w:t xml:space="preserve">o 24%) </w:t>
            </w:r>
            <w:r w:rsidRPr="00A41A00">
              <w:rPr>
                <w:rFonts w:ascii="Century" w:hAnsi="Century"/>
                <w:color w:val="404040"/>
              </w:rPr>
              <w:t>b</w:t>
            </w:r>
            <w:r w:rsidR="00A25FEB" w:rsidRPr="00A41A00">
              <w:rPr>
                <w:rFonts w:ascii="Century" w:hAnsi="Century"/>
                <w:color w:val="404040"/>
              </w:rPr>
              <w:t>ecause of large amounts of surrenders from life insur</w:t>
            </w:r>
            <w:r w:rsidRPr="00A41A00">
              <w:rPr>
                <w:rFonts w:ascii="Century" w:hAnsi="Century"/>
                <w:color w:val="404040"/>
              </w:rPr>
              <w:t>ance to pension system, in 2006.</w:t>
            </w:r>
            <w:r w:rsidR="00A25FEB" w:rsidRPr="00A41A00">
              <w:rPr>
                <w:rFonts w:ascii="Century" w:hAnsi="Century"/>
                <w:color w:val="404040"/>
              </w:rPr>
              <w:t xml:space="preserve"> </w:t>
            </w:r>
            <w:r w:rsidR="00E10B41" w:rsidRPr="00A41A00">
              <w:rPr>
                <w:rFonts w:ascii="Century" w:hAnsi="Century"/>
                <w:color w:val="404040"/>
              </w:rPr>
              <w:t>Rights to s</w:t>
            </w:r>
            <w:r w:rsidR="006D7D9C" w:rsidRPr="00A41A00">
              <w:rPr>
                <w:rFonts w:ascii="Century" w:hAnsi="Century"/>
                <w:color w:val="404040"/>
              </w:rPr>
              <w:t xml:space="preserve">urrender from life branch to pension system </w:t>
            </w:r>
            <w:r w:rsidR="00E10B41" w:rsidRPr="00A41A00">
              <w:rPr>
                <w:rFonts w:ascii="Century" w:hAnsi="Century"/>
                <w:color w:val="404040"/>
              </w:rPr>
              <w:t xml:space="preserve">expired before 01.01.2007 according to regulations, thus paid losses </w:t>
            </w:r>
            <w:r w:rsidR="00A92923" w:rsidRPr="00A41A00">
              <w:rPr>
                <w:rFonts w:ascii="Century" w:hAnsi="Century"/>
                <w:color w:val="404040"/>
              </w:rPr>
              <w:t xml:space="preserve">portion </w:t>
            </w:r>
            <w:r w:rsidR="00E10B41" w:rsidRPr="00A41A00">
              <w:rPr>
                <w:rFonts w:ascii="Century" w:hAnsi="Century"/>
                <w:color w:val="404040"/>
              </w:rPr>
              <w:t xml:space="preserve">for life branch </w:t>
            </w:r>
            <w:r w:rsidR="00A92923" w:rsidRPr="00A41A00">
              <w:rPr>
                <w:rFonts w:ascii="Century" w:hAnsi="Century"/>
                <w:color w:val="404040"/>
              </w:rPr>
              <w:t>receded to 14%.</w:t>
            </w:r>
          </w:p>
          <w:p w:rsidR="00530F37" w:rsidRPr="00A41A00" w:rsidRDefault="00530F37" w:rsidP="00A25FEB">
            <w:pPr>
              <w:jc w:val="both"/>
              <w:rPr>
                <w:rFonts w:ascii="Century" w:hAnsi="Century"/>
                <w:color w:val="404040"/>
                <w:highlight w:val="yellow"/>
              </w:rPr>
            </w:pPr>
          </w:p>
          <w:p w:rsidR="00530F37" w:rsidRPr="00A41A00" w:rsidRDefault="00530F37" w:rsidP="00A25FEB">
            <w:pPr>
              <w:jc w:val="both"/>
              <w:rPr>
                <w:rFonts w:ascii="Century" w:hAnsi="Century"/>
                <w:color w:val="404040"/>
                <w:sz w:val="20"/>
                <w:szCs w:val="20"/>
                <w:highlight w:val="yellow"/>
              </w:rPr>
            </w:pPr>
          </w:p>
          <w:p w:rsidR="00A25FEB" w:rsidRPr="00A41A00" w:rsidRDefault="00A25FEB" w:rsidP="00A25FEB">
            <w:pPr>
              <w:jc w:val="both"/>
              <w:rPr>
                <w:rFonts w:ascii="Century" w:hAnsi="Century"/>
                <w:color w:val="404040"/>
              </w:rPr>
            </w:pPr>
            <w:r w:rsidRPr="00A41A00">
              <w:rPr>
                <w:rFonts w:ascii="Century" w:hAnsi="Century"/>
                <w:color w:val="404040"/>
              </w:rPr>
              <w:t>While the share of auto insurance in premium volume is 4</w:t>
            </w:r>
            <w:r w:rsidR="00530F37" w:rsidRPr="00A41A00">
              <w:rPr>
                <w:rFonts w:ascii="Century" w:hAnsi="Century"/>
                <w:color w:val="404040"/>
              </w:rPr>
              <w:t>8</w:t>
            </w:r>
            <w:r w:rsidRPr="00A41A00">
              <w:rPr>
                <w:rFonts w:ascii="Century" w:hAnsi="Century"/>
                <w:color w:val="404040"/>
              </w:rPr>
              <w:t xml:space="preserve">%, its share </w:t>
            </w:r>
            <w:r w:rsidR="00530F37" w:rsidRPr="00A41A00">
              <w:rPr>
                <w:rFonts w:ascii="Century" w:hAnsi="Century"/>
                <w:color w:val="404040"/>
              </w:rPr>
              <w:t>in paid losses is observed as 61</w:t>
            </w:r>
            <w:r w:rsidRPr="00A41A00">
              <w:rPr>
                <w:rFonts w:ascii="Century" w:hAnsi="Century"/>
                <w:color w:val="404040"/>
              </w:rPr>
              <w:t>% in 200</w:t>
            </w:r>
            <w:r w:rsidR="00530F37" w:rsidRPr="00A41A00">
              <w:rPr>
                <w:rFonts w:ascii="Century" w:hAnsi="Century"/>
                <w:color w:val="404040"/>
              </w:rPr>
              <w:t>7</w:t>
            </w:r>
            <w:r w:rsidRPr="00A41A00">
              <w:rPr>
                <w:rFonts w:ascii="Century" w:hAnsi="Century"/>
                <w:color w:val="404040"/>
              </w:rPr>
              <w:t xml:space="preserve">.  </w:t>
            </w:r>
          </w:p>
          <w:p w:rsidR="00A25FEB" w:rsidRPr="00A41A00" w:rsidRDefault="00A25FEB" w:rsidP="008D17FE">
            <w:pPr>
              <w:rPr>
                <w:rFonts w:ascii="Century" w:hAnsi="Century"/>
                <w:color w:val="404040"/>
                <w:lang w:val="tr-TR"/>
              </w:rPr>
            </w:pPr>
          </w:p>
          <w:p w:rsidR="00A25FEB" w:rsidRPr="00A41A00" w:rsidRDefault="00A25FEB" w:rsidP="008D17FE">
            <w:pPr>
              <w:rPr>
                <w:rFonts w:ascii="Century" w:hAnsi="Century"/>
                <w:color w:val="404040"/>
                <w:highlight w:val="yellow"/>
                <w:lang w:val="tr-TR"/>
              </w:rPr>
            </w:pPr>
          </w:p>
          <w:p w:rsidR="00A25FEB" w:rsidRDefault="00A25FEB" w:rsidP="008D17FE">
            <w:pPr>
              <w:rPr>
                <w:rFonts w:ascii="Century" w:hAnsi="Century"/>
                <w:color w:val="1C1C1C"/>
                <w:highlight w:val="yellow"/>
                <w:lang w:val="tr-TR"/>
              </w:rPr>
            </w:pPr>
          </w:p>
          <w:p w:rsidR="00864A20" w:rsidRPr="00367FA3" w:rsidRDefault="00864A20" w:rsidP="008D17FE">
            <w:pPr>
              <w:rPr>
                <w:rFonts w:ascii="Century" w:hAnsi="Century"/>
                <w:color w:val="1C1C1C"/>
                <w:highlight w:val="yellow"/>
                <w:lang w:val="tr-TR"/>
              </w:rPr>
            </w:pPr>
          </w:p>
          <w:p w:rsidR="00A25FEB" w:rsidRPr="00A41A00" w:rsidRDefault="00A25FEB" w:rsidP="00A25FEB">
            <w:pPr>
              <w:jc w:val="both"/>
              <w:rPr>
                <w:rFonts w:ascii="Century" w:hAnsi="Century"/>
                <w:color w:val="404040"/>
              </w:rPr>
            </w:pPr>
            <w:r w:rsidRPr="00A41A00">
              <w:rPr>
                <w:rFonts w:ascii="Century" w:hAnsi="Century"/>
                <w:color w:val="404040"/>
              </w:rPr>
              <w:lastRenderedPageBreak/>
              <w:t>Besides the decrease in premium</w:t>
            </w:r>
            <w:r w:rsidR="00530F37" w:rsidRPr="00A41A00">
              <w:rPr>
                <w:rFonts w:ascii="Century" w:hAnsi="Century"/>
                <w:color w:val="404040"/>
              </w:rPr>
              <w:t xml:space="preserve"> share</w:t>
            </w:r>
            <w:r w:rsidRPr="00A41A00">
              <w:rPr>
                <w:rFonts w:ascii="Century" w:hAnsi="Century"/>
                <w:color w:val="404040"/>
              </w:rPr>
              <w:t xml:space="preserve"> in fire and transport branches, paid losses</w:t>
            </w:r>
            <w:r w:rsidR="00530F37" w:rsidRPr="00A41A00">
              <w:rPr>
                <w:rFonts w:ascii="Century" w:hAnsi="Century"/>
                <w:color w:val="404040"/>
              </w:rPr>
              <w:t xml:space="preserve"> share</w:t>
            </w:r>
            <w:r w:rsidRPr="00A41A00">
              <w:rPr>
                <w:rFonts w:ascii="Century" w:hAnsi="Century"/>
                <w:color w:val="404040"/>
              </w:rPr>
              <w:t xml:space="preserve"> of these branches has decreased in preceding years. </w:t>
            </w:r>
            <w:r w:rsidR="004C401B" w:rsidRPr="00A41A00">
              <w:rPr>
                <w:rFonts w:ascii="Century" w:hAnsi="Century"/>
                <w:color w:val="404040"/>
              </w:rPr>
              <w:t xml:space="preserve">As premium volume has increased </w:t>
            </w:r>
            <w:r w:rsidR="0049184F" w:rsidRPr="00A41A00">
              <w:rPr>
                <w:rFonts w:ascii="Century" w:hAnsi="Century"/>
                <w:color w:val="404040"/>
              </w:rPr>
              <w:t xml:space="preserve">rapidly in year 2006, </w:t>
            </w:r>
            <w:r w:rsidRPr="00A41A00">
              <w:rPr>
                <w:rFonts w:ascii="Century" w:hAnsi="Century"/>
                <w:color w:val="404040"/>
              </w:rPr>
              <w:t xml:space="preserve">the </w:t>
            </w:r>
            <w:r w:rsidR="0049184F" w:rsidRPr="00A41A00">
              <w:rPr>
                <w:rFonts w:ascii="Century" w:hAnsi="Century"/>
                <w:color w:val="404040"/>
              </w:rPr>
              <w:t xml:space="preserve">portion of fire branch in total </w:t>
            </w:r>
            <w:r w:rsidRPr="00A41A00">
              <w:rPr>
                <w:rFonts w:ascii="Century" w:hAnsi="Century"/>
                <w:color w:val="404040"/>
              </w:rPr>
              <w:t xml:space="preserve">paid losses </w:t>
            </w:r>
            <w:r w:rsidR="0049184F" w:rsidRPr="00A41A00">
              <w:rPr>
                <w:rFonts w:ascii="Century" w:hAnsi="Century"/>
                <w:color w:val="404040"/>
              </w:rPr>
              <w:t xml:space="preserve">increased </w:t>
            </w:r>
            <w:r w:rsidRPr="00A41A00">
              <w:rPr>
                <w:rFonts w:ascii="Century" w:hAnsi="Century"/>
                <w:color w:val="404040"/>
              </w:rPr>
              <w:t xml:space="preserve">in </w:t>
            </w:r>
            <w:r w:rsidR="0049184F" w:rsidRPr="00A41A00">
              <w:rPr>
                <w:rFonts w:ascii="Century" w:hAnsi="Century"/>
                <w:color w:val="404040"/>
              </w:rPr>
              <w:t>2007</w:t>
            </w:r>
            <w:r w:rsidRPr="00A41A00">
              <w:rPr>
                <w:rFonts w:ascii="Century" w:hAnsi="Century"/>
                <w:color w:val="404040"/>
              </w:rPr>
              <w:t>. The shares of other branches in paid losses remained steady.</w:t>
            </w:r>
          </w:p>
          <w:p w:rsidR="00A25FEB" w:rsidRPr="00367FA3" w:rsidRDefault="00A25FEB" w:rsidP="008D17FE">
            <w:pPr>
              <w:rPr>
                <w:rFonts w:ascii="Century" w:hAnsi="Century"/>
                <w:highlight w:val="yellow"/>
                <w:lang w:val="tr-TR"/>
              </w:rPr>
            </w:pPr>
          </w:p>
        </w:tc>
      </w:tr>
      <w:tr w:rsidR="00D86152" w:rsidRPr="00367FA3">
        <w:tc>
          <w:tcPr>
            <w:tcW w:w="9855" w:type="dxa"/>
            <w:gridSpan w:val="5"/>
          </w:tcPr>
          <w:p w:rsidR="00084428" w:rsidRPr="00C31734" w:rsidRDefault="00084428" w:rsidP="000E4682">
            <w:pPr>
              <w:pStyle w:val="ResimYazs"/>
              <w:jc w:val="center"/>
              <w:rPr>
                <w:rFonts w:ascii="Century" w:hAnsi="Century"/>
                <w:b w:val="0"/>
                <w:lang w:val="tr-TR"/>
              </w:rPr>
            </w:pPr>
            <w:bookmarkStart w:id="109" w:name="_Toc170665559"/>
            <w:r w:rsidRPr="00C31734">
              <w:rPr>
                <w:rFonts w:ascii="Century" w:hAnsi="Century"/>
                <w:lang w:val="tr-TR"/>
              </w:rPr>
              <w:lastRenderedPageBreak/>
              <w:t xml:space="preserve">Tablo </w:t>
            </w:r>
            <w:r w:rsidR="00D532F8" w:rsidRPr="00C31734">
              <w:rPr>
                <w:rFonts w:ascii="Century" w:hAnsi="Century"/>
                <w:lang w:val="tr-TR"/>
              </w:rPr>
              <w:t>1.5</w:t>
            </w:r>
            <w:r w:rsidRPr="00C31734">
              <w:rPr>
                <w:rFonts w:ascii="Century" w:hAnsi="Century"/>
                <w:lang w:val="tr-TR"/>
              </w:rPr>
              <w:noBreakHyphen/>
            </w:r>
            <w:r w:rsidRPr="00C31734">
              <w:rPr>
                <w:rFonts w:ascii="Century" w:hAnsi="Century"/>
                <w:lang w:val="tr-TR"/>
              </w:rPr>
              <w:fldChar w:fldCharType="begin"/>
            </w:r>
            <w:r w:rsidRPr="00C31734">
              <w:rPr>
                <w:rFonts w:ascii="Century" w:hAnsi="Century"/>
                <w:lang w:val="tr-TR"/>
              </w:rPr>
              <w:instrText xml:space="preserve"> SEQ Tablo \* ARABIC \s 2 </w:instrText>
            </w:r>
            <w:r w:rsidRPr="00C31734">
              <w:rPr>
                <w:rFonts w:ascii="Century" w:hAnsi="Century"/>
                <w:lang w:val="tr-TR"/>
              </w:rPr>
              <w:fldChar w:fldCharType="separate"/>
            </w:r>
            <w:r w:rsidR="00DA718E">
              <w:rPr>
                <w:rFonts w:ascii="Century" w:hAnsi="Century"/>
                <w:noProof/>
                <w:lang w:val="tr-TR"/>
              </w:rPr>
              <w:t>5</w:t>
            </w:r>
            <w:r w:rsidRPr="00C31734">
              <w:rPr>
                <w:rFonts w:ascii="Century" w:hAnsi="Century"/>
                <w:lang w:val="tr-TR"/>
              </w:rPr>
              <w:fldChar w:fldCharType="end"/>
            </w:r>
            <w:r w:rsidRPr="00C31734">
              <w:rPr>
                <w:rFonts w:ascii="Century" w:hAnsi="Century"/>
                <w:lang w:val="tr-TR"/>
              </w:rPr>
              <w:t>;</w:t>
            </w:r>
            <w:r w:rsidRPr="00C31734">
              <w:rPr>
                <w:rFonts w:ascii="Century" w:hAnsi="Century"/>
                <w:bCs w:val="0"/>
                <w:lang w:val="tr-TR"/>
              </w:rPr>
              <w:t xml:space="preserve"> Direkt İşler Tazm.ve Top.Payı-</w:t>
            </w:r>
            <w:r w:rsidRPr="00C31734">
              <w:rPr>
                <w:rFonts w:ascii="Century" w:hAnsi="Century"/>
                <w:b w:val="0"/>
                <w:i/>
                <w:iCs/>
                <w:lang w:val="tr-TR"/>
              </w:rPr>
              <w:t>Direct Bus.Loss Payments and Divisions</w:t>
            </w:r>
            <w:bookmarkEnd w:id="109"/>
          </w:p>
          <w:p w:rsidR="000355EE" w:rsidRPr="00622E8B" w:rsidRDefault="00FC792B" w:rsidP="00622E8B">
            <w:pPr>
              <w:jc w:val="center"/>
              <w:rPr>
                <w:rFonts w:ascii="Century" w:hAnsi="Century"/>
                <w:highlight w:val="yellow"/>
                <w:lang w:val="tr-TR"/>
              </w:rPr>
            </w:pPr>
            <w:r w:rsidRPr="00FC792B">
              <w:rPr>
                <w:rFonts w:ascii="Century" w:hAnsi="Century"/>
                <w:lang w:val="tr-TR"/>
              </w:rPr>
              <w:pict>
                <v:shape id="_x0000_i1077" type="#_x0000_t75" style="width:482.25pt;height:204pt">
                  <v:imagedata r:id="rId67" o:title=""/>
                </v:shape>
              </w:pict>
            </w:r>
          </w:p>
        </w:tc>
      </w:tr>
      <w:tr w:rsidR="00D86152" w:rsidRPr="00367FA3">
        <w:tc>
          <w:tcPr>
            <w:tcW w:w="4815" w:type="dxa"/>
            <w:gridSpan w:val="2"/>
          </w:tcPr>
          <w:p w:rsidR="00084428" w:rsidRPr="005134A5" w:rsidRDefault="00BE5C54" w:rsidP="00E90B2C">
            <w:pPr>
              <w:pStyle w:val="Balk3"/>
              <w:keepNext w:val="0"/>
              <w:numPr>
                <w:ilvl w:val="0"/>
                <w:numId w:val="0"/>
              </w:numPr>
              <w:ind w:left="612" w:hanging="612"/>
              <w:jc w:val="both"/>
              <w:rPr>
                <w:rFonts w:ascii="Century" w:hAnsi="Century"/>
                <w:sz w:val="24"/>
                <w:szCs w:val="24"/>
                <w:lang w:val="tr-TR"/>
              </w:rPr>
            </w:pPr>
            <w:bookmarkStart w:id="110" w:name="_Toc170253095"/>
            <w:bookmarkStart w:id="111" w:name="_Toc198287710"/>
            <w:bookmarkStart w:id="112" w:name="_Toc199251257"/>
            <w:r w:rsidRPr="005134A5">
              <w:rPr>
                <w:rFonts w:ascii="Century" w:hAnsi="Century"/>
                <w:sz w:val="24"/>
                <w:szCs w:val="24"/>
                <w:lang w:val="tr-TR"/>
              </w:rPr>
              <w:t>1.5.3.</w:t>
            </w:r>
            <w:r w:rsidR="009C59D3" w:rsidRPr="005134A5">
              <w:rPr>
                <w:rFonts w:ascii="Century" w:hAnsi="Century"/>
                <w:sz w:val="24"/>
                <w:szCs w:val="24"/>
                <w:lang w:val="tr-TR"/>
              </w:rPr>
              <w:t xml:space="preserve"> </w:t>
            </w:r>
            <w:r w:rsidR="00084428" w:rsidRPr="005134A5">
              <w:rPr>
                <w:rFonts w:ascii="Century" w:hAnsi="Century"/>
                <w:sz w:val="24"/>
                <w:szCs w:val="24"/>
                <w:lang w:val="tr-TR"/>
              </w:rPr>
              <w:t xml:space="preserve">Branş </w:t>
            </w:r>
            <w:r w:rsidR="00994F98" w:rsidRPr="005134A5">
              <w:rPr>
                <w:rFonts w:ascii="Century" w:hAnsi="Century"/>
                <w:sz w:val="24"/>
                <w:szCs w:val="24"/>
                <w:lang w:val="tr-TR"/>
              </w:rPr>
              <w:t>ve Grup Şirket Ayrımında</w:t>
            </w:r>
            <w:r w:rsidR="005134A5">
              <w:rPr>
                <w:rFonts w:ascii="Century" w:hAnsi="Century"/>
                <w:sz w:val="24"/>
                <w:szCs w:val="24"/>
                <w:lang w:val="tr-TR"/>
              </w:rPr>
              <w:t xml:space="preserve"> 2007</w:t>
            </w:r>
            <w:r w:rsidR="00084428" w:rsidRPr="005134A5">
              <w:rPr>
                <w:rFonts w:ascii="Century" w:hAnsi="Century"/>
                <w:sz w:val="24"/>
                <w:szCs w:val="24"/>
                <w:lang w:val="tr-TR"/>
              </w:rPr>
              <w:t xml:space="preserve"> Yılı Değerlendirmesi</w:t>
            </w:r>
            <w:bookmarkEnd w:id="110"/>
            <w:bookmarkEnd w:id="111"/>
            <w:bookmarkEnd w:id="112"/>
          </w:p>
          <w:p w:rsidR="00084428" w:rsidRPr="00622E8B" w:rsidRDefault="00084428" w:rsidP="008D17FE">
            <w:pPr>
              <w:ind w:left="657" w:hanging="630"/>
              <w:jc w:val="both"/>
              <w:rPr>
                <w:rFonts w:ascii="Century" w:hAnsi="Century"/>
                <w:sz w:val="20"/>
                <w:szCs w:val="20"/>
                <w:lang w:val="tr-TR"/>
              </w:rPr>
            </w:pPr>
          </w:p>
          <w:p w:rsidR="00084428" w:rsidRPr="005134A5" w:rsidRDefault="005134A5" w:rsidP="008D17FE">
            <w:pPr>
              <w:jc w:val="both"/>
              <w:rPr>
                <w:rFonts w:ascii="Century" w:hAnsi="Century"/>
                <w:lang w:val="tr-TR"/>
              </w:rPr>
            </w:pPr>
            <w:r w:rsidRPr="005134A5">
              <w:rPr>
                <w:rFonts w:ascii="Century" w:hAnsi="Century"/>
                <w:lang w:val="tr-TR"/>
              </w:rPr>
              <w:t>2007</w:t>
            </w:r>
            <w:r w:rsidR="00084428" w:rsidRPr="005134A5">
              <w:rPr>
                <w:rFonts w:ascii="Century" w:hAnsi="Century"/>
                <w:lang w:val="tr-TR"/>
              </w:rPr>
              <w:t xml:space="preserve"> yılında aktif olarak faaliyette bulunan sigorta şirketlerinin direkt işlere ilişkin olarak branş ayrımında bazı teknik göstergeleri aşağıda</w:t>
            </w:r>
            <w:r w:rsidR="000E4682" w:rsidRPr="005134A5">
              <w:rPr>
                <w:rFonts w:ascii="Century" w:hAnsi="Century"/>
                <w:lang w:val="tr-TR"/>
              </w:rPr>
              <w:t>ki tabloda</w:t>
            </w:r>
            <w:r w:rsidR="00084428" w:rsidRPr="005134A5">
              <w:rPr>
                <w:rFonts w:ascii="Century" w:hAnsi="Century"/>
                <w:lang w:val="tr-TR"/>
              </w:rPr>
              <w:t>, şirket bazında ayrıntılı veriler</w:t>
            </w:r>
            <w:r w:rsidR="00911862" w:rsidRPr="005134A5">
              <w:rPr>
                <w:rFonts w:ascii="Century" w:hAnsi="Century"/>
                <w:lang w:val="tr-TR"/>
              </w:rPr>
              <w:t>i</w:t>
            </w:r>
            <w:r w:rsidR="00084428" w:rsidRPr="005134A5">
              <w:rPr>
                <w:rFonts w:ascii="Century" w:hAnsi="Century"/>
                <w:lang w:val="tr-TR"/>
              </w:rPr>
              <w:t xml:space="preserve"> ise Rap</w:t>
            </w:r>
            <w:r w:rsidR="00676DE6" w:rsidRPr="005134A5">
              <w:rPr>
                <w:rFonts w:ascii="Century" w:hAnsi="Century"/>
                <w:lang w:val="tr-TR"/>
              </w:rPr>
              <w:t>or’un Tablolar kısmında (Tablo</w:t>
            </w:r>
            <w:r w:rsidR="00911862" w:rsidRPr="005134A5">
              <w:rPr>
                <w:rFonts w:ascii="Century" w:hAnsi="Century"/>
                <w:lang w:val="tr-TR"/>
              </w:rPr>
              <w:t xml:space="preserve"> </w:t>
            </w:r>
            <w:r w:rsidR="00676DE6" w:rsidRPr="005134A5">
              <w:rPr>
                <w:rFonts w:ascii="Century" w:hAnsi="Century"/>
                <w:lang w:val="tr-TR"/>
              </w:rPr>
              <w:t>1</w:t>
            </w:r>
            <w:r w:rsidRPr="005134A5">
              <w:rPr>
                <w:rFonts w:ascii="Century" w:hAnsi="Century"/>
                <w:lang w:val="tr-TR"/>
              </w:rPr>
              <w:t>4</w:t>
            </w:r>
            <w:r w:rsidR="00084428" w:rsidRPr="005134A5">
              <w:rPr>
                <w:rFonts w:ascii="Century" w:hAnsi="Century"/>
                <w:lang w:val="tr-TR"/>
              </w:rPr>
              <w:t>-2</w:t>
            </w:r>
            <w:r w:rsidRPr="005134A5">
              <w:rPr>
                <w:rFonts w:ascii="Century" w:hAnsi="Century"/>
                <w:lang w:val="tr-TR"/>
              </w:rPr>
              <w:t>5</w:t>
            </w:r>
            <w:r w:rsidR="00084428" w:rsidRPr="005134A5">
              <w:rPr>
                <w:rFonts w:ascii="Century" w:hAnsi="Century"/>
                <w:lang w:val="tr-TR"/>
              </w:rPr>
              <w:t xml:space="preserve"> ile 3</w:t>
            </w:r>
            <w:r w:rsidRPr="005134A5">
              <w:rPr>
                <w:rFonts w:ascii="Century" w:hAnsi="Century"/>
                <w:lang w:val="tr-TR"/>
              </w:rPr>
              <w:t>5</w:t>
            </w:r>
            <w:r w:rsidR="00084428" w:rsidRPr="005134A5">
              <w:rPr>
                <w:rFonts w:ascii="Century" w:hAnsi="Century"/>
                <w:lang w:val="tr-TR"/>
              </w:rPr>
              <w:t>-3</w:t>
            </w:r>
            <w:r w:rsidRPr="005134A5">
              <w:rPr>
                <w:rFonts w:ascii="Century" w:hAnsi="Century"/>
                <w:lang w:val="tr-TR"/>
              </w:rPr>
              <w:t>7</w:t>
            </w:r>
            <w:r w:rsidR="00084428" w:rsidRPr="005134A5">
              <w:rPr>
                <w:rFonts w:ascii="Century" w:hAnsi="Century"/>
                <w:lang w:val="tr-TR"/>
              </w:rPr>
              <w:t>) verilmiştir.</w:t>
            </w:r>
          </w:p>
          <w:p w:rsidR="00084428" w:rsidRPr="00622E8B" w:rsidRDefault="00084428" w:rsidP="008D17FE">
            <w:pPr>
              <w:jc w:val="both"/>
              <w:rPr>
                <w:rFonts w:ascii="Century" w:hAnsi="Century"/>
                <w:sz w:val="20"/>
                <w:szCs w:val="20"/>
                <w:lang w:val="tr-TR"/>
              </w:rPr>
            </w:pPr>
          </w:p>
          <w:p w:rsidR="00ED493E" w:rsidRDefault="00C432E9" w:rsidP="00622E8B">
            <w:pPr>
              <w:jc w:val="both"/>
              <w:rPr>
                <w:rFonts w:ascii="Century" w:hAnsi="Century"/>
                <w:lang w:val="tr-TR"/>
              </w:rPr>
            </w:pPr>
            <w:r w:rsidRPr="00C432E9">
              <w:rPr>
                <w:rFonts w:ascii="Century" w:hAnsi="Century"/>
                <w:lang w:val="tr-TR"/>
              </w:rPr>
              <w:t>2007</w:t>
            </w:r>
            <w:r w:rsidR="00084428" w:rsidRPr="00C432E9">
              <w:rPr>
                <w:rFonts w:ascii="Century" w:hAnsi="Century"/>
                <w:lang w:val="tr-TR"/>
              </w:rPr>
              <w:t xml:space="preserve"> yılı faaliyetleri sonucu hayat dışı şirketler </w:t>
            </w:r>
            <w:r w:rsidRPr="00C432E9">
              <w:rPr>
                <w:rFonts w:ascii="Century" w:hAnsi="Century"/>
                <w:lang w:val="tr-TR"/>
              </w:rPr>
              <w:t>239.086</w:t>
            </w:r>
            <w:r w:rsidR="00084428" w:rsidRPr="00C432E9">
              <w:rPr>
                <w:rFonts w:ascii="Century" w:hAnsi="Century"/>
                <w:lang w:val="tr-TR"/>
              </w:rPr>
              <w:t xml:space="preserve"> bin YTL teknik kar ederlerken, hayat</w:t>
            </w:r>
            <w:r w:rsidR="009E6000" w:rsidRPr="00C432E9">
              <w:rPr>
                <w:rFonts w:ascii="Century" w:hAnsi="Century"/>
                <w:lang w:val="tr-TR"/>
              </w:rPr>
              <w:t>/emeklilik</w:t>
            </w:r>
            <w:r w:rsidR="00084428" w:rsidRPr="00C432E9">
              <w:rPr>
                <w:rFonts w:ascii="Century" w:hAnsi="Century"/>
                <w:lang w:val="tr-TR"/>
              </w:rPr>
              <w:t xml:space="preserve"> şirketler</w:t>
            </w:r>
            <w:r w:rsidR="00911862" w:rsidRPr="00C432E9">
              <w:rPr>
                <w:rFonts w:ascii="Century" w:hAnsi="Century"/>
                <w:lang w:val="tr-TR"/>
              </w:rPr>
              <w:t>i, emeklilik faaliyetleri hariç</w:t>
            </w:r>
            <w:r w:rsidR="00084428" w:rsidRPr="00C432E9">
              <w:rPr>
                <w:rFonts w:ascii="Century" w:hAnsi="Century"/>
                <w:lang w:val="tr-TR"/>
              </w:rPr>
              <w:t xml:space="preserve"> </w:t>
            </w:r>
            <w:r w:rsidRPr="00C432E9">
              <w:rPr>
                <w:rFonts w:ascii="Century" w:hAnsi="Century"/>
                <w:lang w:val="tr-TR"/>
              </w:rPr>
              <w:t>2</w:t>
            </w:r>
            <w:r w:rsidR="00573211">
              <w:rPr>
                <w:rFonts w:ascii="Century" w:hAnsi="Century"/>
                <w:lang w:val="tr-TR"/>
              </w:rPr>
              <w:t>08.831</w:t>
            </w:r>
            <w:r w:rsidR="00084428" w:rsidRPr="00C432E9">
              <w:rPr>
                <w:rFonts w:ascii="Century" w:hAnsi="Century"/>
                <w:lang w:val="tr-TR"/>
              </w:rPr>
              <w:t xml:space="preserve"> bin YTL teknik kar etmişlerdir. Hayat dışı şirketler için trafik</w:t>
            </w:r>
            <w:r w:rsidRPr="00C432E9">
              <w:rPr>
                <w:rFonts w:ascii="Century" w:hAnsi="Century"/>
                <w:lang w:val="tr-TR"/>
              </w:rPr>
              <w:t xml:space="preserve">, </w:t>
            </w:r>
            <w:r w:rsidR="00084428" w:rsidRPr="00C432E9">
              <w:rPr>
                <w:rFonts w:ascii="Century" w:hAnsi="Century"/>
                <w:lang w:val="tr-TR"/>
              </w:rPr>
              <w:t>k</w:t>
            </w:r>
            <w:r w:rsidR="00573211">
              <w:rPr>
                <w:rFonts w:ascii="Century" w:hAnsi="Century"/>
                <w:lang w:val="tr-TR"/>
              </w:rPr>
              <w:t>redi ve hayat</w:t>
            </w:r>
            <w:r w:rsidR="00084428" w:rsidRPr="00C432E9">
              <w:rPr>
                <w:rFonts w:ascii="Century" w:hAnsi="Century"/>
                <w:lang w:val="tr-TR"/>
              </w:rPr>
              <w:t xml:space="preserve"> branşlarında, hayat şirketleri</w:t>
            </w:r>
            <w:r w:rsidR="00622E8B">
              <w:rPr>
                <w:rFonts w:ascii="Century" w:hAnsi="Century"/>
                <w:lang w:val="tr-TR"/>
              </w:rPr>
              <w:t xml:space="preserve"> için </w:t>
            </w:r>
            <w:r w:rsidR="00084428" w:rsidRPr="00C432E9">
              <w:rPr>
                <w:rFonts w:ascii="Century" w:hAnsi="Century"/>
                <w:lang w:val="tr-TR"/>
              </w:rPr>
              <w:t xml:space="preserve">ise sağlık branşında </w:t>
            </w:r>
            <w:r w:rsidR="00622E8B">
              <w:rPr>
                <w:rFonts w:ascii="Century" w:hAnsi="Century"/>
                <w:lang w:val="tr-TR"/>
              </w:rPr>
              <w:t xml:space="preserve">teknik </w:t>
            </w:r>
            <w:r w:rsidR="00084428" w:rsidRPr="00C432E9">
              <w:rPr>
                <w:rFonts w:ascii="Century" w:hAnsi="Century"/>
                <w:lang w:val="tr-TR"/>
              </w:rPr>
              <w:t>zarar söz</w:t>
            </w:r>
            <w:r w:rsidR="00622E8B">
              <w:rPr>
                <w:rFonts w:ascii="Century" w:hAnsi="Century"/>
                <w:lang w:val="tr-TR"/>
              </w:rPr>
              <w:t xml:space="preserve"> </w:t>
            </w:r>
            <w:r w:rsidR="00084428" w:rsidRPr="00C432E9">
              <w:rPr>
                <w:rFonts w:ascii="Century" w:hAnsi="Century"/>
                <w:lang w:val="tr-TR"/>
              </w:rPr>
              <w:t>konusudur.</w:t>
            </w:r>
          </w:p>
          <w:p w:rsidR="004C109E" w:rsidRPr="00622E8B" w:rsidRDefault="004C109E" w:rsidP="00622E8B">
            <w:pPr>
              <w:jc w:val="both"/>
              <w:rPr>
                <w:rFonts w:ascii="Century" w:hAnsi="Century"/>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highlight w:val="yellow"/>
                <w:lang w:val="tr-TR"/>
              </w:rPr>
            </w:pPr>
          </w:p>
          <w:p w:rsidR="00A25FEB" w:rsidRPr="00A41A00" w:rsidRDefault="00BE5C54" w:rsidP="00BE5C54">
            <w:pPr>
              <w:jc w:val="both"/>
              <w:rPr>
                <w:rFonts w:ascii="Century" w:hAnsi="Century"/>
                <w:b/>
                <w:color w:val="404040"/>
              </w:rPr>
            </w:pPr>
            <w:r w:rsidRPr="00A41A00">
              <w:rPr>
                <w:rFonts w:ascii="Century" w:hAnsi="Century"/>
                <w:b/>
                <w:color w:val="404040"/>
              </w:rPr>
              <w:t>1.5.3.</w:t>
            </w:r>
            <w:r w:rsidR="00A25FEB" w:rsidRPr="00A41A00">
              <w:rPr>
                <w:rFonts w:ascii="Century" w:hAnsi="Century"/>
                <w:b/>
                <w:color w:val="404040"/>
              </w:rPr>
              <w:t>Evaluation of Branches for 200</w:t>
            </w:r>
            <w:r w:rsidR="005134A5" w:rsidRPr="00A41A00">
              <w:rPr>
                <w:rFonts w:ascii="Century" w:hAnsi="Century"/>
                <w:b/>
                <w:color w:val="404040"/>
              </w:rPr>
              <w:t>7</w:t>
            </w:r>
            <w:r w:rsidR="00A25FEB" w:rsidRPr="00A41A00">
              <w:rPr>
                <w:rFonts w:ascii="Century" w:hAnsi="Century"/>
                <w:b/>
                <w:color w:val="404040"/>
              </w:rPr>
              <w:t xml:space="preserve"> </w:t>
            </w:r>
          </w:p>
          <w:p w:rsidR="00A25FEB" w:rsidRPr="00A41A00" w:rsidRDefault="00A25FEB" w:rsidP="008D17FE">
            <w:pPr>
              <w:rPr>
                <w:rFonts w:ascii="Century" w:hAnsi="Century"/>
                <w:color w:val="404040"/>
                <w:lang w:val="tr-TR"/>
              </w:rPr>
            </w:pPr>
          </w:p>
          <w:p w:rsidR="00A25FEB" w:rsidRPr="00A41A00" w:rsidRDefault="00A25FEB" w:rsidP="008D17FE">
            <w:pPr>
              <w:rPr>
                <w:rFonts w:ascii="Century" w:hAnsi="Century"/>
                <w:color w:val="404040"/>
                <w:sz w:val="20"/>
                <w:szCs w:val="20"/>
                <w:lang w:val="tr-TR"/>
              </w:rPr>
            </w:pPr>
          </w:p>
          <w:p w:rsidR="00A25FEB" w:rsidRPr="00A41A00" w:rsidRDefault="00A25FEB" w:rsidP="00A25FEB">
            <w:pPr>
              <w:jc w:val="both"/>
              <w:rPr>
                <w:rFonts w:ascii="Century" w:hAnsi="Century"/>
                <w:color w:val="404040"/>
              </w:rPr>
            </w:pPr>
            <w:r w:rsidRPr="00A41A00">
              <w:rPr>
                <w:rFonts w:ascii="Century" w:hAnsi="Century"/>
                <w:color w:val="404040"/>
              </w:rPr>
              <w:t>Some technical indicators</w:t>
            </w:r>
            <w:r w:rsidR="00911862" w:rsidRPr="00A41A00">
              <w:rPr>
                <w:rFonts w:ascii="Century" w:hAnsi="Century"/>
                <w:color w:val="404040"/>
              </w:rPr>
              <w:t xml:space="preserve"> per branch</w:t>
            </w:r>
            <w:r w:rsidR="00676DE6" w:rsidRPr="00A41A00">
              <w:rPr>
                <w:rFonts w:ascii="Century" w:hAnsi="Century"/>
                <w:color w:val="404040"/>
              </w:rPr>
              <w:t xml:space="preserve"> for direct business</w:t>
            </w:r>
            <w:r w:rsidRPr="00A41A00">
              <w:rPr>
                <w:rFonts w:ascii="Century" w:hAnsi="Century"/>
                <w:color w:val="404040"/>
              </w:rPr>
              <w:t xml:space="preserve"> </w:t>
            </w:r>
            <w:r w:rsidR="00676DE6" w:rsidRPr="00A41A00">
              <w:rPr>
                <w:rFonts w:ascii="Century" w:hAnsi="Century"/>
                <w:color w:val="404040"/>
              </w:rPr>
              <w:t xml:space="preserve">of active companies </w:t>
            </w:r>
            <w:r w:rsidRPr="00A41A00">
              <w:rPr>
                <w:rFonts w:ascii="Century" w:hAnsi="Century"/>
                <w:color w:val="404040"/>
              </w:rPr>
              <w:t>for year 200</w:t>
            </w:r>
            <w:r w:rsidR="005134A5" w:rsidRPr="00A41A00">
              <w:rPr>
                <w:rFonts w:ascii="Century" w:hAnsi="Century"/>
                <w:color w:val="404040"/>
              </w:rPr>
              <w:t>7</w:t>
            </w:r>
            <w:r w:rsidRPr="00A41A00">
              <w:rPr>
                <w:rFonts w:ascii="Century" w:hAnsi="Century"/>
                <w:color w:val="404040"/>
              </w:rPr>
              <w:t xml:space="preserve"> are shown in the table below. Detailed data in terms of companies take place in the Tables section (Tables 1</w:t>
            </w:r>
            <w:r w:rsidR="005134A5" w:rsidRPr="00A41A00">
              <w:rPr>
                <w:rFonts w:ascii="Century" w:hAnsi="Century"/>
                <w:color w:val="404040"/>
              </w:rPr>
              <w:t>4</w:t>
            </w:r>
            <w:r w:rsidR="00B70130" w:rsidRPr="00A41A00">
              <w:rPr>
                <w:rFonts w:ascii="Century" w:hAnsi="Century"/>
                <w:color w:val="404040"/>
              </w:rPr>
              <w:t>-</w:t>
            </w:r>
            <w:r w:rsidRPr="00A41A00">
              <w:rPr>
                <w:rFonts w:ascii="Century" w:hAnsi="Century"/>
                <w:color w:val="404040"/>
              </w:rPr>
              <w:t>2</w:t>
            </w:r>
            <w:r w:rsidR="005134A5" w:rsidRPr="00A41A00">
              <w:rPr>
                <w:rFonts w:ascii="Century" w:hAnsi="Century"/>
                <w:color w:val="404040"/>
              </w:rPr>
              <w:t>5</w:t>
            </w:r>
            <w:r w:rsidRPr="00A41A00">
              <w:rPr>
                <w:rFonts w:ascii="Century" w:hAnsi="Century"/>
                <w:color w:val="404040"/>
              </w:rPr>
              <w:t xml:space="preserve"> and 3</w:t>
            </w:r>
            <w:r w:rsidR="005134A5" w:rsidRPr="00A41A00">
              <w:rPr>
                <w:rFonts w:ascii="Century" w:hAnsi="Century"/>
                <w:color w:val="404040"/>
              </w:rPr>
              <w:t>5</w:t>
            </w:r>
            <w:r w:rsidR="00B70130" w:rsidRPr="00A41A00">
              <w:rPr>
                <w:rFonts w:ascii="Century" w:hAnsi="Century"/>
                <w:color w:val="404040"/>
              </w:rPr>
              <w:t>-</w:t>
            </w:r>
            <w:r w:rsidRPr="00A41A00">
              <w:rPr>
                <w:rFonts w:ascii="Century" w:hAnsi="Century"/>
                <w:color w:val="404040"/>
              </w:rPr>
              <w:t>3</w:t>
            </w:r>
            <w:r w:rsidR="005134A5" w:rsidRPr="00A41A00">
              <w:rPr>
                <w:rFonts w:ascii="Century" w:hAnsi="Century"/>
                <w:color w:val="404040"/>
              </w:rPr>
              <w:t>7</w:t>
            </w:r>
            <w:r w:rsidRPr="00A41A00">
              <w:rPr>
                <w:rFonts w:ascii="Century" w:hAnsi="Century"/>
                <w:color w:val="404040"/>
              </w:rPr>
              <w:t>) of this Report.</w:t>
            </w:r>
          </w:p>
          <w:p w:rsidR="00A25FEB" w:rsidRPr="00A41A00" w:rsidRDefault="0096397B" w:rsidP="0096397B">
            <w:pPr>
              <w:tabs>
                <w:tab w:val="left" w:pos="915"/>
              </w:tabs>
              <w:rPr>
                <w:rFonts w:ascii="Century" w:hAnsi="Century"/>
                <w:color w:val="404040"/>
                <w:lang w:val="tr-TR"/>
              </w:rPr>
            </w:pPr>
            <w:r w:rsidRPr="00A41A00">
              <w:rPr>
                <w:rFonts w:ascii="Century" w:hAnsi="Century"/>
                <w:color w:val="404040"/>
                <w:lang w:val="tr-TR"/>
              </w:rPr>
              <w:tab/>
            </w:r>
          </w:p>
          <w:p w:rsidR="00911862" w:rsidRPr="00A41A00" w:rsidRDefault="00911862" w:rsidP="00A25FEB">
            <w:pPr>
              <w:jc w:val="both"/>
              <w:rPr>
                <w:rFonts w:ascii="Century" w:hAnsi="Century"/>
                <w:color w:val="404040"/>
                <w:sz w:val="20"/>
                <w:szCs w:val="20"/>
              </w:rPr>
            </w:pPr>
          </w:p>
          <w:p w:rsidR="00350749" w:rsidRPr="00573211" w:rsidRDefault="00A25FEB" w:rsidP="00F264F4">
            <w:pPr>
              <w:jc w:val="both"/>
              <w:rPr>
                <w:rFonts w:ascii="Century" w:hAnsi="Century"/>
                <w:color w:val="404040"/>
              </w:rPr>
            </w:pPr>
            <w:r w:rsidRPr="00A41A00">
              <w:rPr>
                <w:rFonts w:ascii="Century" w:hAnsi="Century"/>
                <w:color w:val="404040"/>
              </w:rPr>
              <w:t>While non</w:t>
            </w:r>
            <w:r w:rsidR="00B70130" w:rsidRPr="00A41A00">
              <w:rPr>
                <w:rFonts w:ascii="Century" w:hAnsi="Century"/>
                <w:color w:val="404040"/>
              </w:rPr>
              <w:t>-</w:t>
            </w:r>
            <w:r w:rsidRPr="00A41A00">
              <w:rPr>
                <w:rFonts w:ascii="Century" w:hAnsi="Century"/>
                <w:color w:val="404040"/>
              </w:rPr>
              <w:t xml:space="preserve">life insurance companies make YTL </w:t>
            </w:r>
            <w:r w:rsidR="00C432E9" w:rsidRPr="00A41A00">
              <w:rPr>
                <w:rFonts w:ascii="Century" w:hAnsi="Century"/>
                <w:color w:val="404040"/>
              </w:rPr>
              <w:t>239</w:t>
            </w:r>
            <w:r w:rsidR="009A05A2" w:rsidRPr="00A41A00">
              <w:rPr>
                <w:rFonts w:ascii="Century" w:hAnsi="Century"/>
                <w:color w:val="404040"/>
              </w:rPr>
              <w:t>,</w:t>
            </w:r>
            <w:r w:rsidR="00C432E9" w:rsidRPr="00A41A00">
              <w:rPr>
                <w:rFonts w:ascii="Century" w:hAnsi="Century"/>
                <w:color w:val="404040"/>
              </w:rPr>
              <w:t>086</w:t>
            </w:r>
            <w:r w:rsidRPr="00A41A00">
              <w:rPr>
                <w:rFonts w:ascii="Century" w:hAnsi="Century"/>
                <w:color w:val="404040"/>
              </w:rPr>
              <w:t xml:space="preserve"> thousand technical profit in 200</w:t>
            </w:r>
            <w:r w:rsidR="00C432E9" w:rsidRPr="00A41A00">
              <w:rPr>
                <w:rFonts w:ascii="Century" w:hAnsi="Century"/>
                <w:color w:val="404040"/>
              </w:rPr>
              <w:t>7</w:t>
            </w:r>
            <w:r w:rsidRPr="00A41A00">
              <w:rPr>
                <w:rFonts w:ascii="Century" w:hAnsi="Century"/>
                <w:color w:val="404040"/>
              </w:rPr>
              <w:t xml:space="preserve">, life/pension companies make YTL </w:t>
            </w:r>
            <w:r w:rsidR="00C432E9" w:rsidRPr="00A41A00">
              <w:rPr>
                <w:rFonts w:ascii="Century" w:hAnsi="Century"/>
                <w:color w:val="404040"/>
              </w:rPr>
              <w:t>2</w:t>
            </w:r>
            <w:r w:rsidR="00573211">
              <w:rPr>
                <w:rFonts w:ascii="Century" w:hAnsi="Century"/>
                <w:color w:val="404040"/>
              </w:rPr>
              <w:t>08.831</w:t>
            </w:r>
            <w:r w:rsidRPr="00A41A00">
              <w:rPr>
                <w:rFonts w:ascii="Century" w:hAnsi="Century"/>
                <w:color w:val="404040"/>
              </w:rPr>
              <w:t xml:space="preserve"> thousand technical profit excluding pension activities. Non</w:t>
            </w:r>
            <w:r w:rsidR="00B70130" w:rsidRPr="00A41A00">
              <w:rPr>
                <w:rFonts w:ascii="Century" w:hAnsi="Century"/>
                <w:color w:val="404040"/>
              </w:rPr>
              <w:t>-</w:t>
            </w:r>
            <w:r w:rsidRPr="00A41A00">
              <w:rPr>
                <w:rFonts w:ascii="Century" w:hAnsi="Century"/>
                <w:color w:val="404040"/>
              </w:rPr>
              <w:t>life companies have technical loss in TPL</w:t>
            </w:r>
            <w:r w:rsidR="00C432E9" w:rsidRPr="00A41A00">
              <w:rPr>
                <w:rFonts w:ascii="Century" w:hAnsi="Century"/>
                <w:color w:val="404040"/>
              </w:rPr>
              <w:t>,</w:t>
            </w:r>
            <w:r w:rsidRPr="00A41A00">
              <w:rPr>
                <w:rFonts w:ascii="Century" w:hAnsi="Century"/>
                <w:color w:val="404040"/>
              </w:rPr>
              <w:t xml:space="preserve"> </w:t>
            </w:r>
            <w:r w:rsidR="00573211">
              <w:rPr>
                <w:rFonts w:ascii="Century" w:hAnsi="Century"/>
                <w:color w:val="404040"/>
              </w:rPr>
              <w:t>credit</w:t>
            </w:r>
            <w:r w:rsidR="00C432E9" w:rsidRPr="00A41A00">
              <w:rPr>
                <w:rFonts w:ascii="Century" w:hAnsi="Century"/>
                <w:color w:val="404040"/>
              </w:rPr>
              <w:t xml:space="preserve">, and </w:t>
            </w:r>
            <w:r w:rsidR="00573211">
              <w:rPr>
                <w:rFonts w:ascii="Century" w:hAnsi="Century"/>
                <w:color w:val="404040"/>
              </w:rPr>
              <w:t>life</w:t>
            </w:r>
            <w:r w:rsidRPr="00A41A00">
              <w:rPr>
                <w:rFonts w:ascii="Century" w:hAnsi="Century"/>
                <w:color w:val="404040"/>
              </w:rPr>
              <w:t xml:space="preserve"> branches and life companies have technical loss in health branch. </w:t>
            </w:r>
          </w:p>
        </w:tc>
      </w:tr>
      <w:tr w:rsidR="00D86152" w:rsidRPr="00367FA3">
        <w:tc>
          <w:tcPr>
            <w:tcW w:w="9855" w:type="dxa"/>
            <w:gridSpan w:val="5"/>
          </w:tcPr>
          <w:p w:rsidR="00084428" w:rsidRPr="005134A5" w:rsidRDefault="00084428" w:rsidP="00344474">
            <w:pPr>
              <w:pStyle w:val="ResimYazs"/>
              <w:jc w:val="center"/>
              <w:rPr>
                <w:rFonts w:ascii="Century" w:hAnsi="Century"/>
                <w:lang w:val="tr-TR"/>
              </w:rPr>
            </w:pPr>
            <w:bookmarkStart w:id="113" w:name="_Toc170665560"/>
            <w:r w:rsidRPr="005134A5">
              <w:rPr>
                <w:rFonts w:ascii="Century" w:hAnsi="Century"/>
                <w:lang w:val="tr-TR"/>
              </w:rPr>
              <w:lastRenderedPageBreak/>
              <w:t xml:space="preserve">Tablo </w:t>
            </w:r>
            <w:r w:rsidR="00D532F8" w:rsidRPr="005134A5">
              <w:rPr>
                <w:rFonts w:ascii="Century" w:hAnsi="Century"/>
                <w:lang w:val="tr-TR"/>
              </w:rPr>
              <w:t>1.5</w:t>
            </w:r>
            <w:r w:rsidRPr="005134A5">
              <w:rPr>
                <w:rFonts w:ascii="Century" w:hAnsi="Century"/>
                <w:lang w:val="tr-TR"/>
              </w:rPr>
              <w:noBreakHyphen/>
            </w:r>
            <w:r w:rsidRPr="005134A5">
              <w:rPr>
                <w:rFonts w:ascii="Century" w:hAnsi="Century"/>
                <w:lang w:val="tr-TR"/>
              </w:rPr>
              <w:fldChar w:fldCharType="begin"/>
            </w:r>
            <w:r w:rsidRPr="005134A5">
              <w:rPr>
                <w:rFonts w:ascii="Century" w:hAnsi="Century"/>
                <w:lang w:val="tr-TR"/>
              </w:rPr>
              <w:instrText xml:space="preserve"> SEQ Tablo \* ARABIC \s 2 </w:instrText>
            </w:r>
            <w:r w:rsidRPr="005134A5">
              <w:rPr>
                <w:rFonts w:ascii="Century" w:hAnsi="Century"/>
                <w:lang w:val="tr-TR"/>
              </w:rPr>
              <w:fldChar w:fldCharType="separate"/>
            </w:r>
            <w:r w:rsidR="00DA718E">
              <w:rPr>
                <w:rFonts w:ascii="Century" w:hAnsi="Century"/>
                <w:noProof/>
                <w:lang w:val="tr-TR"/>
              </w:rPr>
              <w:t>6</w:t>
            </w:r>
            <w:r w:rsidRPr="005134A5">
              <w:rPr>
                <w:rFonts w:ascii="Century" w:hAnsi="Century"/>
                <w:lang w:val="tr-TR"/>
              </w:rPr>
              <w:fldChar w:fldCharType="end"/>
            </w:r>
            <w:r w:rsidRPr="005134A5">
              <w:rPr>
                <w:rFonts w:ascii="Century" w:hAnsi="Century"/>
                <w:lang w:val="tr-TR"/>
              </w:rPr>
              <w:t xml:space="preserve">; </w:t>
            </w:r>
            <w:r w:rsidRPr="005134A5">
              <w:rPr>
                <w:rFonts w:ascii="Century" w:hAnsi="Century"/>
                <w:bCs w:val="0"/>
                <w:lang w:val="tr-TR"/>
              </w:rPr>
              <w:t xml:space="preserve">Branş Bazında Teknik Veriler (Direkt İşler) </w:t>
            </w:r>
            <w:r w:rsidRPr="005134A5">
              <w:rPr>
                <w:rFonts w:ascii="Century" w:hAnsi="Century"/>
                <w:b w:val="0"/>
                <w:bCs w:val="0"/>
                <w:lang w:val="tr-TR"/>
              </w:rPr>
              <w:t>–</w:t>
            </w:r>
            <w:r w:rsidRPr="005134A5">
              <w:rPr>
                <w:rFonts w:ascii="Century" w:hAnsi="Century"/>
                <w:bCs w:val="0"/>
                <w:lang w:val="tr-TR"/>
              </w:rPr>
              <w:t xml:space="preserve"> </w:t>
            </w:r>
            <w:r w:rsidRPr="005134A5">
              <w:rPr>
                <w:rFonts w:ascii="Century" w:hAnsi="Century"/>
                <w:b w:val="0"/>
                <w:bCs w:val="0"/>
                <w:i/>
                <w:lang w:val="tr-TR"/>
              </w:rPr>
              <w:t>Tech. Ind. for per Branches (Direkt Bus.)</w:t>
            </w:r>
            <w:bookmarkEnd w:id="113"/>
          </w:p>
          <w:p w:rsidR="00D86152" w:rsidRPr="00573211" w:rsidRDefault="00573211" w:rsidP="00344474">
            <w:pPr>
              <w:jc w:val="center"/>
              <w:rPr>
                <w:rFonts w:ascii="Century" w:hAnsi="Century"/>
                <w:highlight w:val="yellow"/>
                <w:lang w:val="tr-TR"/>
              </w:rPr>
            </w:pPr>
            <w:r w:rsidRPr="00573211">
              <w:rPr>
                <w:rFonts w:ascii="Century" w:hAnsi="Century"/>
                <w:lang w:val="tr-TR"/>
              </w:rPr>
              <w:pict>
                <v:shape id="_x0000_i1078" type="#_x0000_t75" style="width:481.5pt;height:276.75pt">
                  <v:imagedata r:id="rId68" o:title=""/>
                </v:shape>
              </w:pict>
            </w:r>
          </w:p>
        </w:tc>
      </w:tr>
      <w:tr w:rsidR="00D86152" w:rsidRPr="00367FA3">
        <w:tc>
          <w:tcPr>
            <w:tcW w:w="4815" w:type="dxa"/>
            <w:gridSpan w:val="2"/>
          </w:tcPr>
          <w:p w:rsidR="00332CCA" w:rsidRPr="00367FA3" w:rsidRDefault="00332CCA" w:rsidP="008D17FE">
            <w:pPr>
              <w:jc w:val="both"/>
              <w:rPr>
                <w:rFonts w:ascii="Century" w:hAnsi="Century"/>
                <w:highlight w:val="yellow"/>
                <w:lang w:val="tr-TR"/>
              </w:rPr>
            </w:pPr>
          </w:p>
          <w:p w:rsidR="00084428" w:rsidRPr="005134A5" w:rsidRDefault="005134A5" w:rsidP="008D17FE">
            <w:pPr>
              <w:jc w:val="both"/>
              <w:rPr>
                <w:rFonts w:ascii="Century" w:hAnsi="Century"/>
                <w:lang w:val="tr-TR"/>
              </w:rPr>
            </w:pPr>
            <w:r w:rsidRPr="005134A5">
              <w:rPr>
                <w:rFonts w:ascii="Century" w:hAnsi="Century"/>
                <w:lang w:val="tr-TR"/>
              </w:rPr>
              <w:t>2007</w:t>
            </w:r>
            <w:r w:rsidR="00084428" w:rsidRPr="005134A5">
              <w:rPr>
                <w:rFonts w:ascii="Century" w:hAnsi="Century"/>
                <w:lang w:val="tr-TR"/>
              </w:rPr>
              <w:t xml:space="preserve"> yılı</w:t>
            </w:r>
            <w:r w:rsidR="00332CCA" w:rsidRPr="005134A5">
              <w:rPr>
                <w:rFonts w:ascii="Century" w:hAnsi="Century"/>
                <w:lang w:val="tr-TR"/>
              </w:rPr>
              <w:t>nda</w:t>
            </w:r>
            <w:r w:rsidR="00084428" w:rsidRPr="005134A5">
              <w:rPr>
                <w:rFonts w:ascii="Century" w:hAnsi="Century"/>
                <w:lang w:val="tr-TR"/>
              </w:rPr>
              <w:t>, hayat sigorta şirketleri</w:t>
            </w:r>
            <w:r w:rsidR="004C44C8" w:rsidRPr="005134A5">
              <w:rPr>
                <w:rFonts w:ascii="Century" w:hAnsi="Century"/>
                <w:lang w:val="tr-TR"/>
              </w:rPr>
              <w:t xml:space="preserve"> </w:t>
            </w:r>
            <w:r w:rsidR="00084428" w:rsidRPr="005134A5">
              <w:rPr>
                <w:rFonts w:ascii="Century" w:hAnsi="Century"/>
                <w:lang w:val="tr-TR"/>
              </w:rPr>
              <w:t>%</w:t>
            </w:r>
            <w:r w:rsidR="002547A1" w:rsidRPr="005134A5">
              <w:rPr>
                <w:rFonts w:ascii="Century" w:hAnsi="Century"/>
                <w:lang w:val="tr-TR"/>
              </w:rPr>
              <w:t xml:space="preserve"> </w:t>
            </w:r>
            <w:r w:rsidRPr="005134A5">
              <w:rPr>
                <w:rFonts w:ascii="Century" w:hAnsi="Century"/>
                <w:lang w:val="tr-TR"/>
              </w:rPr>
              <w:t>12,67</w:t>
            </w:r>
            <w:r w:rsidR="00084428" w:rsidRPr="005134A5">
              <w:rPr>
                <w:rFonts w:ascii="Century" w:hAnsi="Century"/>
                <w:lang w:val="tr-TR"/>
              </w:rPr>
              <w:t xml:space="preserve"> oranında teknik kar ederlerken, bu oranın hayat dışı sigorta şirketleri için %</w:t>
            </w:r>
            <w:r w:rsidR="002547A1" w:rsidRPr="005134A5">
              <w:rPr>
                <w:rFonts w:ascii="Century" w:hAnsi="Century"/>
                <w:lang w:val="tr-TR"/>
              </w:rPr>
              <w:t xml:space="preserve"> </w:t>
            </w:r>
            <w:r w:rsidRPr="005134A5">
              <w:rPr>
                <w:rFonts w:ascii="Century" w:hAnsi="Century"/>
                <w:lang w:val="tr-TR"/>
              </w:rPr>
              <w:t>2,58</w:t>
            </w:r>
            <w:r w:rsidR="00084428" w:rsidRPr="005134A5">
              <w:rPr>
                <w:rFonts w:ascii="Century" w:hAnsi="Century"/>
                <w:lang w:val="tr-TR"/>
              </w:rPr>
              <w:t xml:space="preserve"> olduğu görülmektedir. Portföy içindeki ağırlığı toplam %</w:t>
            </w:r>
            <w:r w:rsidR="002547A1" w:rsidRPr="005134A5">
              <w:rPr>
                <w:rFonts w:ascii="Century" w:hAnsi="Century"/>
                <w:lang w:val="tr-TR"/>
              </w:rPr>
              <w:t xml:space="preserve"> </w:t>
            </w:r>
            <w:r w:rsidR="00084428" w:rsidRPr="005134A5">
              <w:rPr>
                <w:rFonts w:ascii="Century" w:hAnsi="Century"/>
                <w:lang w:val="tr-TR"/>
              </w:rPr>
              <w:t>5</w:t>
            </w:r>
            <w:r w:rsidRPr="005134A5">
              <w:rPr>
                <w:rFonts w:ascii="Century" w:hAnsi="Century"/>
                <w:lang w:val="tr-TR"/>
              </w:rPr>
              <w:t>9</w:t>
            </w:r>
            <w:r w:rsidR="00084428" w:rsidRPr="005134A5">
              <w:rPr>
                <w:rFonts w:ascii="Century" w:hAnsi="Century"/>
                <w:lang w:val="tr-TR"/>
              </w:rPr>
              <w:t xml:space="preserve"> olan trafik, </w:t>
            </w:r>
            <w:r w:rsidRPr="005134A5">
              <w:rPr>
                <w:rFonts w:ascii="Century" w:hAnsi="Century"/>
                <w:lang w:val="tr-TR"/>
              </w:rPr>
              <w:t>kasko</w:t>
            </w:r>
            <w:r w:rsidR="00084428" w:rsidRPr="005134A5">
              <w:rPr>
                <w:rFonts w:ascii="Century" w:hAnsi="Century"/>
                <w:lang w:val="tr-TR"/>
              </w:rPr>
              <w:t xml:space="preserve"> ve sağlık branşlarında teknik zarar e</w:t>
            </w:r>
            <w:r w:rsidRPr="005134A5">
              <w:rPr>
                <w:rFonts w:ascii="Century" w:hAnsi="Century"/>
                <w:lang w:val="tr-TR"/>
              </w:rPr>
              <w:t>dilmesi</w:t>
            </w:r>
            <w:r w:rsidR="00084428" w:rsidRPr="005134A5">
              <w:rPr>
                <w:rFonts w:ascii="Century" w:hAnsi="Century"/>
                <w:lang w:val="tr-TR"/>
              </w:rPr>
              <w:t xml:space="preserve"> sektör</w:t>
            </w:r>
            <w:r w:rsidR="00320FBD" w:rsidRPr="005134A5">
              <w:rPr>
                <w:rFonts w:ascii="Century" w:hAnsi="Century"/>
                <w:lang w:val="tr-TR"/>
              </w:rPr>
              <w:t>ün</w:t>
            </w:r>
            <w:r w:rsidR="00084428" w:rsidRPr="005134A5">
              <w:rPr>
                <w:rFonts w:ascii="Century" w:hAnsi="Century"/>
                <w:lang w:val="tr-TR"/>
              </w:rPr>
              <w:t xml:space="preserve"> teknik karlılığı üzerinde önemli bir rol oynamıştır. </w:t>
            </w:r>
          </w:p>
          <w:p w:rsidR="002F7215" w:rsidRPr="00367FA3" w:rsidRDefault="002F7215"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highlight w:val="yellow"/>
                <w:lang w:val="tr-TR"/>
              </w:rPr>
            </w:pPr>
          </w:p>
          <w:p w:rsidR="008F200A" w:rsidRPr="00A41A00" w:rsidRDefault="008F200A" w:rsidP="008F200A">
            <w:pPr>
              <w:jc w:val="both"/>
              <w:rPr>
                <w:rFonts w:ascii="Century" w:hAnsi="Century" w:cs="Arial"/>
                <w:color w:val="404040"/>
                <w:sz w:val="18"/>
                <w:szCs w:val="18"/>
              </w:rPr>
            </w:pPr>
            <w:r w:rsidRPr="00A41A00">
              <w:rPr>
                <w:rFonts w:ascii="Century" w:hAnsi="Century"/>
                <w:color w:val="404040"/>
              </w:rPr>
              <w:t xml:space="preserve">The technical profit ratio of life/pension companies is </w:t>
            </w:r>
            <w:r w:rsidR="005134A5" w:rsidRPr="00A41A00">
              <w:rPr>
                <w:rFonts w:ascii="Century" w:hAnsi="Century"/>
                <w:color w:val="404040"/>
              </w:rPr>
              <w:t>12,67</w:t>
            </w:r>
            <w:r w:rsidRPr="00A41A00">
              <w:rPr>
                <w:rFonts w:ascii="Century" w:hAnsi="Century"/>
                <w:color w:val="404040"/>
              </w:rPr>
              <w:t>% in 200</w:t>
            </w:r>
            <w:r w:rsidR="005134A5" w:rsidRPr="00A41A00">
              <w:rPr>
                <w:rFonts w:ascii="Century" w:hAnsi="Century"/>
                <w:color w:val="404040"/>
              </w:rPr>
              <w:t>7</w:t>
            </w:r>
            <w:r w:rsidRPr="00A41A00">
              <w:rPr>
                <w:rFonts w:ascii="Century" w:hAnsi="Century"/>
                <w:color w:val="404040"/>
              </w:rPr>
              <w:t xml:space="preserve"> and this ratio is observed as </w:t>
            </w:r>
            <w:r w:rsidR="005134A5" w:rsidRPr="00A41A00">
              <w:rPr>
                <w:rFonts w:ascii="Century" w:hAnsi="Century"/>
                <w:color w:val="404040"/>
              </w:rPr>
              <w:t>2,58</w:t>
            </w:r>
            <w:r w:rsidRPr="00A41A00">
              <w:rPr>
                <w:rFonts w:ascii="Century" w:hAnsi="Century"/>
                <w:color w:val="404040"/>
              </w:rPr>
              <w:t xml:space="preserve">% for non-life insurance companies. </w:t>
            </w:r>
            <w:r w:rsidR="005134A5" w:rsidRPr="00A41A00">
              <w:rPr>
                <w:rFonts w:ascii="Century" w:hAnsi="Century"/>
                <w:color w:val="404040"/>
              </w:rPr>
              <w:t xml:space="preserve">TPL, </w:t>
            </w:r>
            <w:r w:rsidRPr="00A41A00">
              <w:rPr>
                <w:rFonts w:ascii="Century" w:hAnsi="Century"/>
                <w:color w:val="404040"/>
              </w:rPr>
              <w:t>accident and health branches had a negative effect on total technical profit for non-life insurance companies because these branches make up 5</w:t>
            </w:r>
            <w:r w:rsidR="005134A5" w:rsidRPr="00A41A00">
              <w:rPr>
                <w:rFonts w:ascii="Century" w:hAnsi="Century"/>
                <w:color w:val="404040"/>
              </w:rPr>
              <w:t>9</w:t>
            </w:r>
            <w:r w:rsidRPr="00A41A00">
              <w:rPr>
                <w:rFonts w:ascii="Century" w:hAnsi="Century"/>
                <w:color w:val="404040"/>
              </w:rPr>
              <w:t>% of total premium volume.</w:t>
            </w:r>
            <w:r w:rsidRPr="00A41A00">
              <w:rPr>
                <w:rFonts w:ascii="Century" w:hAnsi="Century" w:cs="Arial"/>
                <w:color w:val="404040"/>
                <w:sz w:val="18"/>
                <w:szCs w:val="18"/>
              </w:rPr>
              <w:t xml:space="preserve"> </w:t>
            </w:r>
          </w:p>
          <w:p w:rsidR="00A25FEB" w:rsidRPr="00367FA3" w:rsidRDefault="00A25FEB" w:rsidP="008D17FE">
            <w:pPr>
              <w:rPr>
                <w:rFonts w:ascii="Century" w:hAnsi="Century"/>
                <w:highlight w:val="yellow"/>
                <w:lang w:val="tr-TR"/>
              </w:rPr>
            </w:pPr>
          </w:p>
        </w:tc>
      </w:tr>
      <w:tr w:rsidR="00D86152" w:rsidRPr="00367FA3">
        <w:tc>
          <w:tcPr>
            <w:tcW w:w="9855" w:type="dxa"/>
            <w:gridSpan w:val="5"/>
          </w:tcPr>
          <w:p w:rsidR="00084428" w:rsidRPr="005134A5" w:rsidRDefault="00084428" w:rsidP="000E4682">
            <w:pPr>
              <w:pStyle w:val="ResimYazs"/>
              <w:jc w:val="center"/>
              <w:rPr>
                <w:rFonts w:ascii="Century" w:hAnsi="Century"/>
                <w:lang w:val="tr-TR"/>
              </w:rPr>
            </w:pPr>
            <w:bookmarkStart w:id="114" w:name="_Toc170665561"/>
            <w:r w:rsidRPr="005134A5">
              <w:rPr>
                <w:rFonts w:ascii="Century" w:hAnsi="Century"/>
                <w:lang w:val="tr-TR"/>
              </w:rPr>
              <w:t xml:space="preserve">Tablo </w:t>
            </w:r>
            <w:r w:rsidR="00D532F8" w:rsidRPr="005134A5">
              <w:rPr>
                <w:rFonts w:ascii="Century" w:hAnsi="Century"/>
                <w:lang w:val="tr-TR"/>
              </w:rPr>
              <w:t>1.5</w:t>
            </w:r>
            <w:r w:rsidRPr="005134A5">
              <w:rPr>
                <w:rFonts w:ascii="Century" w:hAnsi="Century"/>
                <w:lang w:val="tr-TR"/>
              </w:rPr>
              <w:noBreakHyphen/>
            </w:r>
            <w:r w:rsidRPr="005134A5">
              <w:rPr>
                <w:rFonts w:ascii="Century" w:hAnsi="Century"/>
                <w:lang w:val="tr-TR"/>
              </w:rPr>
              <w:fldChar w:fldCharType="begin"/>
            </w:r>
            <w:r w:rsidRPr="005134A5">
              <w:rPr>
                <w:rFonts w:ascii="Century" w:hAnsi="Century"/>
                <w:lang w:val="tr-TR"/>
              </w:rPr>
              <w:instrText xml:space="preserve"> SEQ Tablo \* ARABIC \s 2 </w:instrText>
            </w:r>
            <w:r w:rsidRPr="005134A5">
              <w:rPr>
                <w:rFonts w:ascii="Century" w:hAnsi="Century"/>
                <w:lang w:val="tr-TR"/>
              </w:rPr>
              <w:fldChar w:fldCharType="separate"/>
            </w:r>
            <w:r w:rsidR="00DA718E">
              <w:rPr>
                <w:rFonts w:ascii="Century" w:hAnsi="Century"/>
                <w:noProof/>
                <w:lang w:val="tr-TR"/>
              </w:rPr>
              <w:t>7</w:t>
            </w:r>
            <w:r w:rsidRPr="005134A5">
              <w:rPr>
                <w:rFonts w:ascii="Century" w:hAnsi="Century"/>
                <w:lang w:val="tr-TR"/>
              </w:rPr>
              <w:fldChar w:fldCharType="end"/>
            </w:r>
            <w:r w:rsidRPr="005134A5">
              <w:rPr>
                <w:rFonts w:ascii="Century" w:hAnsi="Century"/>
                <w:lang w:val="tr-TR"/>
              </w:rPr>
              <w:t xml:space="preserve">; </w:t>
            </w:r>
            <w:r w:rsidRPr="005134A5">
              <w:rPr>
                <w:rFonts w:ascii="Century" w:hAnsi="Century"/>
                <w:bCs w:val="0"/>
                <w:lang w:val="tr-TR"/>
              </w:rPr>
              <w:t>Karlılık Göstergeleri</w:t>
            </w:r>
            <w:r w:rsidRPr="005134A5">
              <w:rPr>
                <w:rFonts w:ascii="Century" w:hAnsi="Century"/>
                <w:b w:val="0"/>
                <w:bCs w:val="0"/>
                <w:lang w:val="tr-TR"/>
              </w:rPr>
              <w:t xml:space="preserve"> – </w:t>
            </w:r>
            <w:r w:rsidRPr="005134A5">
              <w:rPr>
                <w:rFonts w:ascii="Century" w:hAnsi="Century"/>
                <w:b w:val="0"/>
                <w:bCs w:val="0"/>
                <w:i/>
                <w:lang w:val="tr-TR"/>
              </w:rPr>
              <w:t>Profitability Indicators</w:t>
            </w:r>
            <w:bookmarkEnd w:id="114"/>
          </w:p>
          <w:p w:rsidR="00B70130" w:rsidRPr="00573211" w:rsidRDefault="00573211" w:rsidP="000E4682">
            <w:pPr>
              <w:jc w:val="center"/>
              <w:rPr>
                <w:rFonts w:ascii="Century" w:hAnsi="Century"/>
                <w:highlight w:val="yellow"/>
                <w:lang w:val="tr-TR"/>
              </w:rPr>
            </w:pPr>
            <w:r w:rsidRPr="00573211">
              <w:rPr>
                <w:rFonts w:ascii="Century" w:hAnsi="Century"/>
                <w:lang w:val="tr-TR"/>
              </w:rPr>
              <w:pict>
                <v:shape id="_x0000_i1079" type="#_x0000_t75" style="width:435pt;height:235.5pt">
                  <v:imagedata r:id="rId69" o:title=""/>
                </v:shape>
              </w:pict>
            </w:r>
          </w:p>
        </w:tc>
      </w:tr>
      <w:tr w:rsidR="00D86152" w:rsidRPr="00367FA3">
        <w:tc>
          <w:tcPr>
            <w:tcW w:w="4815" w:type="dxa"/>
            <w:gridSpan w:val="2"/>
          </w:tcPr>
          <w:p w:rsidR="006F5268" w:rsidRPr="00F23267" w:rsidRDefault="006F5268" w:rsidP="00D15063">
            <w:pPr>
              <w:pStyle w:val="Balk1"/>
              <w:keepNext w:val="0"/>
              <w:numPr>
                <w:ilvl w:val="0"/>
                <w:numId w:val="7"/>
              </w:numPr>
              <w:spacing w:before="0" w:after="0"/>
              <w:ind w:left="357" w:hanging="357"/>
              <w:jc w:val="both"/>
              <w:rPr>
                <w:rFonts w:ascii="Century" w:hAnsi="Century"/>
                <w:sz w:val="24"/>
                <w:szCs w:val="24"/>
                <w:lang w:val="tr-TR"/>
              </w:rPr>
            </w:pPr>
            <w:bookmarkStart w:id="115" w:name="_Toc170253096"/>
            <w:bookmarkStart w:id="116" w:name="_Toc198287711"/>
            <w:bookmarkStart w:id="117" w:name="_Toc199251258"/>
            <w:r w:rsidRPr="00F23267">
              <w:rPr>
                <w:rFonts w:ascii="Century" w:hAnsi="Century"/>
                <w:sz w:val="24"/>
                <w:szCs w:val="24"/>
                <w:lang w:val="tr-TR"/>
              </w:rPr>
              <w:lastRenderedPageBreak/>
              <w:t>S</w:t>
            </w:r>
            <w:r w:rsidR="00332CCA" w:rsidRPr="00F23267">
              <w:rPr>
                <w:rFonts w:ascii="Century" w:hAnsi="Century"/>
                <w:sz w:val="24"/>
                <w:szCs w:val="24"/>
                <w:lang w:val="tr-TR"/>
              </w:rPr>
              <w:t>İGORTACILIK ALANINDA FAALİYET GÖSTEREN DİĞER KURULUŞLAR</w:t>
            </w:r>
            <w:bookmarkEnd w:id="115"/>
            <w:bookmarkEnd w:id="116"/>
            <w:bookmarkEnd w:id="117"/>
          </w:p>
          <w:p w:rsidR="006F5268" w:rsidRPr="00F23267" w:rsidRDefault="006F5268" w:rsidP="00DE3CFE">
            <w:pPr>
              <w:jc w:val="both"/>
              <w:rPr>
                <w:rFonts w:ascii="Century" w:hAnsi="Century"/>
                <w:b/>
                <w:lang w:val="tr-TR"/>
              </w:rPr>
            </w:pPr>
          </w:p>
          <w:p w:rsidR="006F5268" w:rsidRPr="00F23267" w:rsidRDefault="006F5268" w:rsidP="00D15063">
            <w:pPr>
              <w:pStyle w:val="Balk2"/>
              <w:keepNext w:val="0"/>
              <w:numPr>
                <w:ilvl w:val="1"/>
                <w:numId w:val="15"/>
              </w:numPr>
              <w:tabs>
                <w:tab w:val="clear" w:pos="-90"/>
                <w:tab w:val="num" w:pos="72"/>
                <w:tab w:val="left" w:pos="522"/>
              </w:tabs>
              <w:spacing w:before="0" w:after="0"/>
              <w:ind w:left="612" w:hanging="612"/>
              <w:rPr>
                <w:rFonts w:ascii="Century" w:hAnsi="Century"/>
                <w:i w:val="0"/>
                <w:sz w:val="24"/>
                <w:szCs w:val="24"/>
                <w:lang w:val="tr-TR"/>
              </w:rPr>
            </w:pPr>
            <w:bookmarkStart w:id="118" w:name="_Toc170253097"/>
            <w:bookmarkStart w:id="119" w:name="_Toc198287712"/>
            <w:bookmarkStart w:id="120" w:name="_Toc199251259"/>
            <w:r w:rsidRPr="00F23267">
              <w:rPr>
                <w:rFonts w:ascii="Century" w:hAnsi="Century"/>
                <w:i w:val="0"/>
                <w:sz w:val="24"/>
                <w:szCs w:val="24"/>
                <w:lang w:val="tr-TR"/>
              </w:rPr>
              <w:t>Doğal Afet Sigortaları Kurumu (DASK)</w:t>
            </w:r>
            <w:bookmarkEnd w:id="118"/>
            <w:bookmarkEnd w:id="119"/>
            <w:bookmarkEnd w:id="120"/>
          </w:p>
          <w:p w:rsidR="00DE3CFE" w:rsidRPr="00F23267" w:rsidRDefault="00DE3CFE" w:rsidP="00DE3CFE">
            <w:pPr>
              <w:pStyle w:val="NormalWeb"/>
              <w:spacing w:before="0" w:beforeAutospacing="0" w:after="0" w:afterAutospacing="0"/>
              <w:jc w:val="both"/>
              <w:rPr>
                <w:rFonts w:ascii="Century" w:hAnsi="Century"/>
              </w:rPr>
            </w:pPr>
          </w:p>
          <w:p w:rsidR="006F5268" w:rsidRPr="00F23267" w:rsidRDefault="006F5268" w:rsidP="00D07D1A">
            <w:pPr>
              <w:pStyle w:val="NormalWeb"/>
              <w:spacing w:before="0" w:beforeAutospacing="0" w:after="0" w:afterAutospacing="0"/>
              <w:jc w:val="both"/>
              <w:rPr>
                <w:rFonts w:ascii="Century" w:hAnsi="Century"/>
              </w:rPr>
            </w:pPr>
            <w:r w:rsidRPr="00F23267">
              <w:rPr>
                <w:rFonts w:ascii="Century" w:hAnsi="Century"/>
              </w:rPr>
              <w:t>17 Ağustos 1999 tarihinde meydana gelen Marmara depreminden sonra deprem zararlarının en aza indirilmesi amacıyla Hazine Müsteşarlığı tarafından Zorunlu Deprem Sigortası'na ilişkin düzenleme yapılmıştır.</w:t>
            </w:r>
          </w:p>
          <w:p w:rsidR="00DE3CFE" w:rsidRPr="00367FA3" w:rsidRDefault="00DE3CFE" w:rsidP="00DE3CFE">
            <w:pPr>
              <w:pStyle w:val="NormalWeb"/>
              <w:spacing w:before="0" w:beforeAutospacing="0" w:after="0" w:afterAutospacing="0"/>
              <w:jc w:val="both"/>
              <w:rPr>
                <w:rFonts w:ascii="Century" w:hAnsi="Century"/>
                <w:highlight w:val="yellow"/>
              </w:rPr>
            </w:pPr>
          </w:p>
          <w:p w:rsidR="006F5268" w:rsidRPr="00AC4FC9" w:rsidRDefault="006F5268" w:rsidP="00DE3CFE">
            <w:pPr>
              <w:pStyle w:val="NormalWeb"/>
              <w:spacing w:before="0" w:beforeAutospacing="0" w:after="0" w:afterAutospacing="0"/>
              <w:jc w:val="both"/>
              <w:rPr>
                <w:rFonts w:ascii="Century" w:hAnsi="Century"/>
              </w:rPr>
            </w:pPr>
            <w:r w:rsidRPr="00AC4FC9">
              <w:rPr>
                <w:rFonts w:ascii="Century" w:hAnsi="Century"/>
              </w:rPr>
              <w:t>27.08.1999 tarih ve 4452 sayılı Doğal Afetlere Karşı Alınacak Önlemler ve Doğal Afetler Nedeniyle Doğan Zararların Giderilmesi İçin Yapılacak Düzenlemeler Hakkında Yetki Kanununun verdiği yetkiye dayanılarak hazırlanan 587 sayılı "Zorunlu Deprem Sigortasına Dair Kanun Hükmünde Kararname" 27.12.1999 tarih ve 23919 (mükerrer) sayılı Resmi Gazete</w:t>
            </w:r>
            <w:r w:rsidR="00A10A27" w:rsidRPr="00AC4FC9">
              <w:rPr>
                <w:rFonts w:ascii="Century" w:hAnsi="Century"/>
              </w:rPr>
              <w:t>’</w:t>
            </w:r>
            <w:r w:rsidRPr="00AC4FC9">
              <w:rPr>
                <w:rFonts w:ascii="Century" w:hAnsi="Century"/>
              </w:rPr>
              <w:t xml:space="preserve">de yayımlanarak yürürlüğe girmiştir. </w:t>
            </w:r>
          </w:p>
          <w:p w:rsidR="00DE3CFE" w:rsidRPr="00367FA3" w:rsidRDefault="00DE3CFE" w:rsidP="00DE3CFE">
            <w:pPr>
              <w:pStyle w:val="NormalWeb"/>
              <w:spacing w:before="0" w:beforeAutospacing="0" w:after="0" w:afterAutospacing="0"/>
              <w:jc w:val="both"/>
              <w:rPr>
                <w:rFonts w:ascii="Century" w:hAnsi="Century"/>
                <w:highlight w:val="yellow"/>
              </w:rPr>
            </w:pPr>
          </w:p>
          <w:p w:rsidR="006F5268" w:rsidRPr="00CF634F" w:rsidRDefault="006F5268" w:rsidP="00DE3CFE">
            <w:pPr>
              <w:pStyle w:val="NormalWeb"/>
              <w:spacing w:before="0" w:beforeAutospacing="0" w:after="0" w:afterAutospacing="0"/>
              <w:jc w:val="both"/>
              <w:rPr>
                <w:rFonts w:ascii="Century" w:hAnsi="Century"/>
              </w:rPr>
            </w:pPr>
            <w:r w:rsidRPr="00CF634F">
              <w:rPr>
                <w:rFonts w:ascii="Century" w:hAnsi="Century"/>
              </w:rPr>
              <w:t xml:space="preserve">Söz konusu KHK ile 27 Eylül 2000 tarihinden itibaren kapsamdaki meskenler için deprem sigortası yaptırmak zorunlu hale getirilmiş olup, bu sigortayı sunmak üzere kamu tüzel kişiliğini haiz Doğal Afet Sigortaları Kurumu (DASK) kurulmuş ve 27 Eylül 2000 tarihinden itibaren faaliyete başlamıştır. </w:t>
            </w:r>
          </w:p>
          <w:p w:rsidR="00DE3CFE" w:rsidRPr="00367FA3" w:rsidRDefault="00DE3CFE" w:rsidP="00DE3CFE">
            <w:pPr>
              <w:pStyle w:val="NormalWeb"/>
              <w:spacing w:before="0" w:beforeAutospacing="0" w:after="0" w:afterAutospacing="0"/>
              <w:jc w:val="both"/>
              <w:rPr>
                <w:rFonts w:ascii="Century" w:hAnsi="Century"/>
                <w:highlight w:val="yellow"/>
              </w:rPr>
            </w:pPr>
          </w:p>
          <w:p w:rsidR="006F5268" w:rsidRPr="00CF634F" w:rsidRDefault="006F5268" w:rsidP="00DE3CFE">
            <w:pPr>
              <w:pStyle w:val="NormalWeb"/>
              <w:spacing w:before="0" w:beforeAutospacing="0" w:after="0" w:afterAutospacing="0"/>
              <w:jc w:val="both"/>
              <w:rPr>
                <w:rFonts w:ascii="Century" w:hAnsi="Century"/>
              </w:rPr>
            </w:pPr>
            <w:r w:rsidRPr="00CF634F">
              <w:rPr>
                <w:rFonts w:ascii="Century" w:hAnsi="Century"/>
              </w:rPr>
              <w:t>Zorunlu Deprem Sigortası, DASK nam ve hesabına sözleşme yapmaya yetkili sigorta şirketleri ve bu şirketlerin acenteleri tarafından yapılmaktadır.</w:t>
            </w:r>
          </w:p>
          <w:p w:rsidR="00D07D1A" w:rsidRPr="00CF634F" w:rsidRDefault="00D07D1A" w:rsidP="00DE3CFE">
            <w:pPr>
              <w:pStyle w:val="NormalWeb"/>
              <w:spacing w:before="0" w:beforeAutospacing="0" w:after="0" w:afterAutospacing="0"/>
              <w:jc w:val="both"/>
              <w:rPr>
                <w:rFonts w:ascii="Century" w:hAnsi="Century"/>
              </w:rPr>
            </w:pPr>
          </w:p>
          <w:p w:rsidR="006F5268" w:rsidRPr="00CF634F" w:rsidRDefault="006F5268" w:rsidP="00DE3CFE">
            <w:pPr>
              <w:pStyle w:val="NormalWeb"/>
              <w:spacing w:before="0" w:beforeAutospacing="0" w:after="0" w:afterAutospacing="0"/>
              <w:jc w:val="both"/>
              <w:rPr>
                <w:rFonts w:ascii="Century" w:hAnsi="Century"/>
              </w:rPr>
            </w:pPr>
            <w:r w:rsidRPr="00CF634F">
              <w:rPr>
                <w:rFonts w:ascii="Century" w:hAnsi="Century"/>
              </w:rPr>
              <w:t>587 sayılı KHK’nın 6</w:t>
            </w:r>
            <w:r w:rsidR="00A10A27" w:rsidRPr="00CF634F">
              <w:rPr>
                <w:rFonts w:ascii="Century" w:hAnsi="Century"/>
              </w:rPr>
              <w:t xml:space="preserve">’ncı </w:t>
            </w:r>
            <w:r w:rsidRPr="00CF634F">
              <w:rPr>
                <w:rFonts w:ascii="Century" w:hAnsi="Century"/>
              </w:rPr>
              <w:t>maddesi uyarınca, T.C. Başbakanlık Hazine Müs</w:t>
            </w:r>
            <w:r w:rsidR="00A55CF3" w:rsidRPr="00CF634F">
              <w:rPr>
                <w:rFonts w:ascii="Century" w:hAnsi="Century"/>
              </w:rPr>
              <w:t>teşarlığı ile Garanti Sigorta AŞ</w:t>
            </w:r>
            <w:r w:rsidRPr="00CF634F">
              <w:rPr>
                <w:rFonts w:ascii="Century" w:hAnsi="Century"/>
              </w:rPr>
              <w:t xml:space="preserve"> arasında 2005 yılında yapılan sözleşme ile DASK’ın teknik ve operasyonel işlerinin yürütülmesi kurum idarecisi sıfatıyla </w:t>
            </w:r>
            <w:r w:rsidR="00A10A27" w:rsidRPr="00CF634F">
              <w:rPr>
                <w:rFonts w:ascii="Century" w:hAnsi="Century"/>
              </w:rPr>
              <w:t xml:space="preserve">adı geçen </w:t>
            </w:r>
            <w:r w:rsidRPr="00CF634F">
              <w:rPr>
                <w:rFonts w:ascii="Century" w:hAnsi="Century"/>
              </w:rPr>
              <w:t xml:space="preserve">şirket tarafından </w:t>
            </w:r>
            <w:r w:rsidRPr="00CF634F">
              <w:rPr>
                <w:rFonts w:ascii="Century" w:hAnsi="Century"/>
              </w:rPr>
              <w:lastRenderedPageBreak/>
              <w:t>yerine getirilmeye başlanmıştır. Mevzuat</w:t>
            </w:r>
            <w:r w:rsidR="00A10A27" w:rsidRPr="00CF634F">
              <w:rPr>
                <w:rFonts w:ascii="Century" w:hAnsi="Century"/>
              </w:rPr>
              <w:t xml:space="preserve"> gereği</w:t>
            </w:r>
            <w:r w:rsidRPr="00CF634F">
              <w:rPr>
                <w:rFonts w:ascii="Century" w:hAnsi="Century"/>
              </w:rPr>
              <w:t>, Kurum İ</w:t>
            </w:r>
            <w:r w:rsidR="00A10A27" w:rsidRPr="00CF634F">
              <w:rPr>
                <w:rFonts w:ascii="Century" w:hAnsi="Century"/>
              </w:rPr>
              <w:t>darecisi il</w:t>
            </w:r>
            <w:r w:rsidR="00344474" w:rsidRPr="00CF634F">
              <w:rPr>
                <w:rFonts w:ascii="Century" w:hAnsi="Century"/>
              </w:rPr>
              <w:t>e yapılan sözleşme</w:t>
            </w:r>
            <w:r w:rsidRPr="00CF634F">
              <w:rPr>
                <w:rFonts w:ascii="Century" w:hAnsi="Century"/>
              </w:rPr>
              <w:t xml:space="preserve"> beşer yıllık sürelerle yenilenme</w:t>
            </w:r>
            <w:r w:rsidR="00A10A27" w:rsidRPr="00CF634F">
              <w:rPr>
                <w:rFonts w:ascii="Century" w:hAnsi="Century"/>
              </w:rPr>
              <w:t>ktedir.</w:t>
            </w:r>
          </w:p>
          <w:p w:rsidR="00DE3CFE" w:rsidRPr="00367FA3" w:rsidRDefault="00DE3CFE" w:rsidP="00DE3CFE">
            <w:pPr>
              <w:pStyle w:val="NormalWeb"/>
              <w:spacing w:before="0" w:beforeAutospacing="0" w:after="0" w:afterAutospacing="0"/>
              <w:jc w:val="both"/>
              <w:rPr>
                <w:rFonts w:ascii="Century" w:hAnsi="Century"/>
                <w:highlight w:val="yellow"/>
              </w:rPr>
            </w:pPr>
          </w:p>
          <w:p w:rsidR="005A43F8" w:rsidRPr="00367FA3" w:rsidRDefault="00CF634F" w:rsidP="00630E1A">
            <w:pPr>
              <w:pStyle w:val="NormalWeb"/>
              <w:spacing w:before="0" w:beforeAutospacing="0" w:after="0" w:afterAutospacing="0"/>
              <w:jc w:val="both"/>
              <w:rPr>
                <w:rFonts w:ascii="Century" w:hAnsi="Century"/>
                <w:highlight w:val="yellow"/>
              </w:rPr>
            </w:pPr>
            <w:r w:rsidRPr="00CF634F">
              <w:rPr>
                <w:rFonts w:ascii="Century" w:hAnsi="Century"/>
              </w:rPr>
              <w:t>DASK’dan alınan 01.01.2007-31.12.2007</w:t>
            </w:r>
            <w:r w:rsidR="006F5268" w:rsidRPr="00CF634F">
              <w:rPr>
                <w:rFonts w:ascii="Century" w:hAnsi="Century"/>
              </w:rPr>
              <w:t xml:space="preserve"> dönemini kapsayan g</w:t>
            </w:r>
            <w:r w:rsidRPr="00CF634F">
              <w:rPr>
                <w:rFonts w:ascii="Century" w:hAnsi="Century"/>
              </w:rPr>
              <w:t xml:space="preserve">enel veriler </w:t>
            </w:r>
            <w:r w:rsidRPr="00630E1A">
              <w:rPr>
                <w:rFonts w:ascii="Century" w:hAnsi="Century"/>
              </w:rPr>
              <w:t>aşağıda, 31.12.2007</w:t>
            </w:r>
            <w:r w:rsidR="006F5268" w:rsidRPr="00630E1A">
              <w:rPr>
                <w:rFonts w:ascii="Century" w:hAnsi="Century"/>
              </w:rPr>
              <w:t xml:space="preserve"> tarihli mali tablolar is</w:t>
            </w:r>
            <w:r w:rsidR="000447FE" w:rsidRPr="00630E1A">
              <w:rPr>
                <w:rFonts w:ascii="Century" w:hAnsi="Century"/>
              </w:rPr>
              <w:t>e Tablo 4</w:t>
            </w:r>
            <w:r w:rsidR="00630E1A" w:rsidRPr="00630E1A">
              <w:rPr>
                <w:rFonts w:ascii="Century" w:hAnsi="Century"/>
              </w:rPr>
              <w:t>8</w:t>
            </w:r>
            <w:r w:rsidR="002D03B6">
              <w:rPr>
                <w:rFonts w:ascii="Century" w:hAnsi="Century"/>
              </w:rPr>
              <w:t>A</w:t>
            </w:r>
            <w:r w:rsidR="000447FE" w:rsidRPr="00630E1A">
              <w:rPr>
                <w:rFonts w:ascii="Century" w:hAnsi="Century"/>
              </w:rPr>
              <w:t xml:space="preserve"> ve </w:t>
            </w:r>
            <w:r w:rsidR="00887F8C" w:rsidRPr="00630E1A">
              <w:rPr>
                <w:rFonts w:ascii="Century" w:hAnsi="Century"/>
              </w:rPr>
              <w:t>4</w:t>
            </w:r>
            <w:r w:rsidR="002D03B6">
              <w:rPr>
                <w:rFonts w:ascii="Century" w:hAnsi="Century"/>
              </w:rPr>
              <w:t>8B</w:t>
            </w:r>
            <w:r w:rsidR="000447FE" w:rsidRPr="00630E1A">
              <w:rPr>
                <w:rFonts w:ascii="Century" w:hAnsi="Century"/>
              </w:rPr>
              <w:t>’d</w:t>
            </w:r>
            <w:r w:rsidR="002D03B6">
              <w:rPr>
                <w:rFonts w:ascii="Century" w:hAnsi="Century"/>
              </w:rPr>
              <w:t>e</w:t>
            </w:r>
            <w:r w:rsidR="000447FE" w:rsidRPr="00630E1A">
              <w:rPr>
                <w:rFonts w:ascii="Century" w:hAnsi="Century"/>
              </w:rPr>
              <w:t xml:space="preserve"> verilmiştir</w:t>
            </w:r>
            <w:r w:rsidR="00055418">
              <w:rPr>
                <w:rFonts w:ascii="Century" w:hAnsi="Century"/>
              </w:rPr>
              <w:t>.</w:t>
            </w: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A41A00" w:rsidRDefault="00A62644" w:rsidP="00320FBD">
            <w:pPr>
              <w:ind w:left="241" w:hanging="241"/>
              <w:jc w:val="both"/>
              <w:rPr>
                <w:rFonts w:ascii="Century" w:hAnsi="Century"/>
                <w:b/>
                <w:color w:val="404040"/>
                <w:lang w:val="tr-TR"/>
              </w:rPr>
            </w:pPr>
            <w:r w:rsidRPr="00A41A00">
              <w:rPr>
                <w:rFonts w:ascii="Century" w:hAnsi="Century"/>
                <w:b/>
                <w:color w:val="404040"/>
                <w:lang w:val="tr-TR"/>
              </w:rPr>
              <w:t>2</w:t>
            </w:r>
            <w:r w:rsidR="002817CB" w:rsidRPr="00A41A00">
              <w:rPr>
                <w:rFonts w:ascii="Century" w:hAnsi="Century"/>
                <w:b/>
                <w:color w:val="404040"/>
                <w:lang w:val="tr-TR"/>
              </w:rPr>
              <w:t xml:space="preserve">. OTHER    INSTITUTIONS    in </w:t>
            </w:r>
            <w:r w:rsidRPr="00A41A00">
              <w:rPr>
                <w:rFonts w:ascii="Century" w:hAnsi="Century"/>
                <w:b/>
                <w:color w:val="404040"/>
                <w:lang w:val="tr-TR"/>
              </w:rPr>
              <w:t xml:space="preserve">  </w:t>
            </w:r>
            <w:r w:rsidR="002817CB" w:rsidRPr="00A41A00">
              <w:rPr>
                <w:rFonts w:ascii="Century" w:hAnsi="Century"/>
                <w:b/>
                <w:color w:val="404040"/>
                <w:lang w:val="tr-TR"/>
              </w:rPr>
              <w:t>INSURANCE  SECTOR</w:t>
            </w:r>
          </w:p>
          <w:p w:rsidR="0015194C" w:rsidRPr="00A41A00" w:rsidRDefault="0015194C" w:rsidP="008D17FE">
            <w:pPr>
              <w:rPr>
                <w:rFonts w:ascii="Century" w:hAnsi="Century"/>
                <w:b/>
                <w:color w:val="404040"/>
                <w:lang w:val="tr-TR"/>
              </w:rPr>
            </w:pPr>
          </w:p>
          <w:p w:rsidR="00A62644" w:rsidRPr="00A41A00" w:rsidRDefault="00A62644" w:rsidP="008D17FE">
            <w:pPr>
              <w:rPr>
                <w:rFonts w:ascii="Century" w:hAnsi="Century"/>
                <w:b/>
                <w:color w:val="404040"/>
                <w:lang w:val="tr-TR"/>
              </w:rPr>
            </w:pPr>
          </w:p>
          <w:p w:rsidR="0015194C" w:rsidRPr="00A41A00" w:rsidRDefault="00A62644" w:rsidP="00A62644">
            <w:pPr>
              <w:ind w:left="421" w:hanging="421"/>
              <w:rPr>
                <w:rFonts w:ascii="Century" w:hAnsi="Century"/>
                <w:b/>
                <w:color w:val="404040"/>
              </w:rPr>
            </w:pPr>
            <w:bookmarkStart w:id="121" w:name="_Toc170569806"/>
            <w:r w:rsidRPr="00A41A00">
              <w:rPr>
                <w:rFonts w:ascii="Century" w:hAnsi="Century"/>
                <w:b/>
                <w:color w:val="404040"/>
              </w:rPr>
              <w:t>2</w:t>
            </w:r>
            <w:r w:rsidR="0015194C" w:rsidRPr="00A41A00">
              <w:rPr>
                <w:rFonts w:ascii="Century" w:hAnsi="Century"/>
                <w:b/>
                <w:color w:val="404040"/>
              </w:rPr>
              <w:t>.1. Turkish Catastrophe Insurance Pool (TCIP)</w:t>
            </w:r>
            <w:bookmarkEnd w:id="121"/>
          </w:p>
          <w:p w:rsidR="00D07D1A" w:rsidRPr="00A41A00" w:rsidRDefault="00D07D1A" w:rsidP="00D07D1A">
            <w:pPr>
              <w:pStyle w:val="NormalWeb"/>
              <w:spacing w:before="0" w:beforeAutospacing="0" w:after="0" w:afterAutospacing="0"/>
              <w:jc w:val="both"/>
              <w:rPr>
                <w:rFonts w:ascii="Century" w:hAnsi="Century"/>
                <w:color w:val="404040"/>
              </w:rPr>
            </w:pPr>
          </w:p>
          <w:p w:rsidR="0015194C" w:rsidRPr="00A41A00" w:rsidRDefault="0015194C" w:rsidP="00D07D1A">
            <w:pPr>
              <w:pStyle w:val="NormalWeb"/>
              <w:spacing w:before="0" w:beforeAutospacing="0" w:after="0" w:afterAutospacing="0"/>
              <w:jc w:val="both"/>
              <w:rPr>
                <w:rFonts w:ascii="Century" w:hAnsi="Century"/>
                <w:color w:val="404040"/>
              </w:rPr>
            </w:pPr>
            <w:r w:rsidRPr="00A41A00">
              <w:rPr>
                <w:rFonts w:ascii="Century" w:hAnsi="Century"/>
                <w:color w:val="404040"/>
              </w:rPr>
              <w:t>After the Marmara Earthquake that occured on August</w:t>
            </w:r>
            <w:r w:rsidR="00AB220A" w:rsidRPr="00A41A00">
              <w:rPr>
                <w:rFonts w:ascii="Century" w:hAnsi="Century"/>
                <w:color w:val="404040"/>
              </w:rPr>
              <w:t xml:space="preserve"> 17,</w:t>
            </w:r>
            <w:r w:rsidRPr="00A41A00">
              <w:rPr>
                <w:rFonts w:ascii="Century" w:hAnsi="Century"/>
                <w:color w:val="404040"/>
              </w:rPr>
              <w:t xml:space="preserve"> 1999, to reduce the hazard to minimum, Turkish Treasury regulated compulsory earthquake insurance.</w:t>
            </w:r>
          </w:p>
          <w:p w:rsidR="00D07D1A" w:rsidRPr="00A41A00" w:rsidRDefault="00D07D1A" w:rsidP="00D07D1A">
            <w:pPr>
              <w:pStyle w:val="NormalWeb"/>
              <w:spacing w:before="0" w:beforeAutospacing="0" w:after="0" w:afterAutospacing="0"/>
              <w:jc w:val="both"/>
              <w:rPr>
                <w:rFonts w:ascii="Century" w:hAnsi="Century"/>
                <w:color w:val="404040"/>
                <w:highlight w:val="yellow"/>
              </w:rPr>
            </w:pPr>
          </w:p>
          <w:p w:rsidR="00D07D1A" w:rsidRPr="00A41A00" w:rsidRDefault="00D07D1A" w:rsidP="00D07D1A">
            <w:pPr>
              <w:pStyle w:val="NormalWeb"/>
              <w:jc w:val="both"/>
              <w:rPr>
                <w:rFonts w:ascii="Century" w:hAnsi="Century"/>
                <w:color w:val="404040"/>
              </w:rPr>
            </w:pPr>
            <w:r w:rsidRPr="00A41A00">
              <w:rPr>
                <w:rFonts w:ascii="Century" w:hAnsi="Century"/>
                <w:color w:val="404040"/>
              </w:rPr>
              <w:t>Due to Authority Bill about Regulation to Take Precautions for Catastrophic Risks and to Reduce Damage occured by Catastrophic Risks, Decree Law about Compulsory Eartquake Insurance numbered 587 is published in the 23919 Official Gazzette dated 12.27.1999 and came into force.</w:t>
            </w:r>
          </w:p>
          <w:p w:rsidR="00D07D1A" w:rsidRPr="00A41A00" w:rsidRDefault="00D07D1A" w:rsidP="00D07D1A">
            <w:pPr>
              <w:pStyle w:val="NormalWeb"/>
              <w:spacing w:before="0" w:beforeAutospacing="0" w:after="0" w:afterAutospacing="0"/>
              <w:jc w:val="both"/>
              <w:rPr>
                <w:rFonts w:ascii="Century" w:hAnsi="Century"/>
                <w:color w:val="404040"/>
                <w:highlight w:val="yellow"/>
              </w:rPr>
            </w:pPr>
          </w:p>
          <w:p w:rsidR="00D07D1A" w:rsidRPr="00A41A00" w:rsidRDefault="00D07D1A" w:rsidP="00D07D1A">
            <w:pPr>
              <w:pStyle w:val="NormalWeb"/>
              <w:spacing w:before="0" w:beforeAutospacing="0" w:after="0" w:afterAutospacing="0"/>
              <w:jc w:val="both"/>
              <w:rPr>
                <w:rFonts w:ascii="Century" w:hAnsi="Century"/>
                <w:color w:val="404040"/>
                <w:highlight w:val="yellow"/>
              </w:rPr>
            </w:pPr>
          </w:p>
          <w:p w:rsidR="00D07D1A" w:rsidRPr="00A41A00" w:rsidRDefault="00676DE6" w:rsidP="00D07D1A">
            <w:pPr>
              <w:pStyle w:val="NormalWeb"/>
              <w:jc w:val="both"/>
              <w:rPr>
                <w:rFonts w:ascii="Century" w:hAnsi="Century"/>
                <w:color w:val="404040"/>
              </w:rPr>
            </w:pPr>
            <w:r w:rsidRPr="00A41A00">
              <w:rPr>
                <w:rFonts w:ascii="Century" w:hAnsi="Century"/>
                <w:color w:val="404040"/>
              </w:rPr>
              <w:t xml:space="preserve">With the decree law, since </w:t>
            </w:r>
            <w:r w:rsidR="00D07D1A" w:rsidRPr="00A41A00">
              <w:rPr>
                <w:rFonts w:ascii="Century" w:hAnsi="Century"/>
                <w:color w:val="404040"/>
              </w:rPr>
              <w:t>September</w:t>
            </w:r>
            <w:r w:rsidRPr="00A41A00">
              <w:rPr>
                <w:rFonts w:ascii="Century" w:hAnsi="Century"/>
                <w:color w:val="404040"/>
              </w:rPr>
              <w:t xml:space="preserve"> 27,</w:t>
            </w:r>
            <w:r w:rsidR="00D07D1A" w:rsidRPr="00A41A00">
              <w:rPr>
                <w:rFonts w:ascii="Century" w:hAnsi="Century"/>
                <w:color w:val="404040"/>
              </w:rPr>
              <w:t xml:space="preserve"> 2000, it has been obligatory to insure the insurable dwellings. Turkish Catastrophe</w:t>
            </w:r>
            <w:r w:rsidR="00DA71E1" w:rsidRPr="00A41A00">
              <w:rPr>
                <w:rFonts w:ascii="Century" w:hAnsi="Century"/>
                <w:color w:val="404040"/>
              </w:rPr>
              <w:t xml:space="preserve"> Insurance</w:t>
            </w:r>
            <w:r w:rsidR="00D07D1A" w:rsidRPr="00A41A00">
              <w:rPr>
                <w:rFonts w:ascii="Century" w:hAnsi="Century"/>
                <w:color w:val="404040"/>
              </w:rPr>
              <w:t xml:space="preserve"> Pool</w:t>
            </w:r>
            <w:r w:rsidR="00DA71E1" w:rsidRPr="00A41A00">
              <w:rPr>
                <w:rFonts w:ascii="Century" w:hAnsi="Century"/>
                <w:color w:val="404040"/>
              </w:rPr>
              <w:t xml:space="preserve"> (TCIP)</w:t>
            </w:r>
            <w:r w:rsidR="00D07D1A" w:rsidRPr="00A41A00">
              <w:rPr>
                <w:rFonts w:ascii="Century" w:hAnsi="Century"/>
                <w:color w:val="404040"/>
              </w:rPr>
              <w:t xml:space="preserve"> possesing legal entity is established as the insurer and started to operate on September</w:t>
            </w:r>
            <w:r w:rsidR="00AB220A" w:rsidRPr="00A41A00">
              <w:rPr>
                <w:rFonts w:ascii="Century" w:hAnsi="Century"/>
                <w:color w:val="404040"/>
              </w:rPr>
              <w:t xml:space="preserve"> 27,</w:t>
            </w:r>
            <w:r w:rsidR="00D07D1A" w:rsidRPr="00A41A00">
              <w:rPr>
                <w:rFonts w:ascii="Century" w:hAnsi="Century"/>
                <w:color w:val="404040"/>
              </w:rPr>
              <w:t xml:space="preserve"> 2000.</w:t>
            </w:r>
          </w:p>
          <w:p w:rsidR="00D07D1A" w:rsidRPr="00A41A00" w:rsidRDefault="00D07D1A" w:rsidP="00D07D1A">
            <w:pPr>
              <w:pStyle w:val="NormalWeb"/>
              <w:spacing w:before="0" w:beforeAutospacing="0" w:after="0" w:afterAutospacing="0"/>
              <w:jc w:val="both"/>
              <w:rPr>
                <w:rFonts w:ascii="Century" w:hAnsi="Century"/>
                <w:color w:val="404040"/>
                <w:highlight w:val="yellow"/>
              </w:rPr>
            </w:pPr>
          </w:p>
          <w:p w:rsidR="00D07D1A" w:rsidRPr="00A41A00" w:rsidRDefault="00D07D1A" w:rsidP="002168BE">
            <w:pPr>
              <w:pStyle w:val="NormalWeb"/>
              <w:jc w:val="both"/>
              <w:rPr>
                <w:rFonts w:ascii="Century" w:hAnsi="Century"/>
                <w:color w:val="404040"/>
              </w:rPr>
            </w:pPr>
            <w:r w:rsidRPr="00A41A00">
              <w:rPr>
                <w:rFonts w:ascii="Century" w:hAnsi="Century"/>
                <w:color w:val="404040"/>
              </w:rPr>
              <w:t>Compulsory earthquake insurance can only be written by authorized insurance companies and their agencies in the name and account of TCIP.</w:t>
            </w:r>
          </w:p>
          <w:p w:rsidR="00D07D1A" w:rsidRPr="00A41A00" w:rsidRDefault="00D07D1A" w:rsidP="00D07D1A">
            <w:pPr>
              <w:pStyle w:val="NormalWeb"/>
              <w:jc w:val="both"/>
              <w:rPr>
                <w:rFonts w:ascii="Century" w:hAnsi="Century"/>
                <w:color w:val="404040"/>
              </w:rPr>
            </w:pPr>
            <w:r w:rsidRPr="00A41A00">
              <w:rPr>
                <w:rFonts w:ascii="Century" w:hAnsi="Century"/>
                <w:color w:val="404040"/>
              </w:rPr>
              <w:t xml:space="preserve">After an agreement between Turkish Treasury and Garanti </w:t>
            </w:r>
            <w:r w:rsidR="00A55CF3" w:rsidRPr="00A41A00">
              <w:rPr>
                <w:rFonts w:ascii="Century" w:hAnsi="Century"/>
                <w:color w:val="404040"/>
              </w:rPr>
              <w:t>Sigorta AŞ</w:t>
            </w:r>
            <w:r w:rsidR="00676DE6" w:rsidRPr="00A41A00">
              <w:rPr>
                <w:rFonts w:ascii="Century" w:hAnsi="Century"/>
                <w:color w:val="404040"/>
              </w:rPr>
              <w:t xml:space="preserve"> </w:t>
            </w:r>
            <w:r w:rsidRPr="00A41A00">
              <w:rPr>
                <w:rFonts w:ascii="Century" w:hAnsi="Century"/>
                <w:color w:val="404040"/>
              </w:rPr>
              <w:t xml:space="preserve">in 2005 due to sixth article of decree law numbered 587, Garanti </w:t>
            </w:r>
            <w:r w:rsidR="00A55CF3" w:rsidRPr="00A41A00">
              <w:rPr>
                <w:rFonts w:ascii="Century" w:hAnsi="Century"/>
                <w:color w:val="404040"/>
              </w:rPr>
              <w:t>Sigorta AŞ</w:t>
            </w:r>
            <w:r w:rsidR="00676DE6" w:rsidRPr="00A41A00">
              <w:rPr>
                <w:rFonts w:ascii="Century" w:hAnsi="Century"/>
                <w:color w:val="404040"/>
              </w:rPr>
              <w:t xml:space="preserve"> </w:t>
            </w:r>
            <w:r w:rsidR="00E24467" w:rsidRPr="00A41A00">
              <w:rPr>
                <w:rFonts w:ascii="Century" w:hAnsi="Century"/>
                <w:color w:val="404040"/>
              </w:rPr>
              <w:t>has been</w:t>
            </w:r>
            <w:r w:rsidRPr="00A41A00">
              <w:rPr>
                <w:rFonts w:ascii="Century" w:hAnsi="Century"/>
                <w:color w:val="404040"/>
              </w:rPr>
              <w:t xml:space="preserve"> authorized to operate activities of </w:t>
            </w:r>
            <w:r w:rsidR="00676DE6" w:rsidRPr="00A41A00">
              <w:rPr>
                <w:rFonts w:ascii="Century" w:hAnsi="Century"/>
                <w:color w:val="404040"/>
              </w:rPr>
              <w:t xml:space="preserve">TCIP </w:t>
            </w:r>
            <w:r w:rsidRPr="00A41A00">
              <w:rPr>
                <w:rFonts w:ascii="Century" w:hAnsi="Century"/>
                <w:color w:val="404040"/>
              </w:rPr>
              <w:t xml:space="preserve">as establishment administrator. In </w:t>
            </w:r>
            <w:r w:rsidR="00E24467" w:rsidRPr="00A41A00">
              <w:rPr>
                <w:rFonts w:ascii="Century" w:hAnsi="Century"/>
                <w:color w:val="404040"/>
              </w:rPr>
              <w:t xml:space="preserve">the </w:t>
            </w:r>
            <w:r w:rsidRPr="00A41A00">
              <w:rPr>
                <w:rFonts w:ascii="Century" w:hAnsi="Century"/>
                <w:color w:val="404040"/>
              </w:rPr>
              <w:t xml:space="preserve">related legislation, it is ancipated to </w:t>
            </w:r>
            <w:r w:rsidRPr="00A41A00">
              <w:rPr>
                <w:rFonts w:ascii="Century" w:hAnsi="Century"/>
                <w:color w:val="404040"/>
              </w:rPr>
              <w:lastRenderedPageBreak/>
              <w:t>renew the contract for periods of 5 years.</w:t>
            </w:r>
          </w:p>
          <w:p w:rsidR="00D07D1A" w:rsidRPr="00A41A00" w:rsidRDefault="00D07D1A" w:rsidP="00D07D1A">
            <w:pPr>
              <w:pStyle w:val="NormalWeb"/>
              <w:spacing w:before="0" w:beforeAutospacing="0" w:after="0" w:afterAutospacing="0"/>
              <w:jc w:val="both"/>
              <w:rPr>
                <w:rFonts w:ascii="Century" w:hAnsi="Century"/>
                <w:color w:val="404040"/>
                <w:highlight w:val="yellow"/>
              </w:rPr>
            </w:pPr>
          </w:p>
          <w:p w:rsidR="00D07D1A" w:rsidRPr="00A41A00" w:rsidRDefault="00D07D1A" w:rsidP="00D07D1A">
            <w:pPr>
              <w:pStyle w:val="NormalWeb"/>
              <w:spacing w:before="0" w:beforeAutospacing="0" w:after="0" w:afterAutospacing="0"/>
              <w:jc w:val="both"/>
              <w:rPr>
                <w:rFonts w:ascii="Century" w:hAnsi="Century"/>
                <w:color w:val="404040"/>
                <w:highlight w:val="yellow"/>
              </w:rPr>
            </w:pPr>
          </w:p>
          <w:p w:rsidR="00D07D1A" w:rsidRPr="00A41A00" w:rsidRDefault="00D07D1A" w:rsidP="00D07D1A">
            <w:pPr>
              <w:pStyle w:val="NormalWeb"/>
              <w:spacing w:before="0" w:beforeAutospacing="0" w:after="0" w:afterAutospacing="0"/>
              <w:jc w:val="both"/>
              <w:rPr>
                <w:rFonts w:ascii="Century" w:hAnsi="Century"/>
                <w:color w:val="404040"/>
                <w:highlight w:val="yellow"/>
              </w:rPr>
            </w:pPr>
          </w:p>
          <w:p w:rsidR="00D07D1A" w:rsidRPr="00A41A00" w:rsidRDefault="00D07D1A" w:rsidP="000447FE">
            <w:pPr>
              <w:pStyle w:val="NormalWeb"/>
              <w:spacing w:before="0" w:beforeAutospacing="0" w:after="0" w:afterAutospacing="0"/>
              <w:jc w:val="both"/>
              <w:rPr>
                <w:rFonts w:ascii="Century" w:hAnsi="Century"/>
                <w:color w:val="404040"/>
              </w:rPr>
            </w:pPr>
            <w:r w:rsidRPr="00A41A00">
              <w:rPr>
                <w:rFonts w:ascii="Century" w:hAnsi="Century"/>
                <w:color w:val="404040"/>
              </w:rPr>
              <w:t>General indicators o</w:t>
            </w:r>
            <w:r w:rsidR="00CF634F" w:rsidRPr="00A41A00">
              <w:rPr>
                <w:rFonts w:ascii="Century" w:hAnsi="Century"/>
                <w:color w:val="404040"/>
              </w:rPr>
              <w:t>f TCIP for the period 01.01.2007-12.31.2007</w:t>
            </w:r>
            <w:r w:rsidRPr="00A41A00">
              <w:rPr>
                <w:rFonts w:ascii="Century" w:hAnsi="Century"/>
                <w:color w:val="404040"/>
              </w:rPr>
              <w:t xml:space="preserve"> are shown in the table below and financial statements are in Tables 4</w:t>
            </w:r>
            <w:r w:rsidR="00630E1A" w:rsidRPr="00A41A00">
              <w:rPr>
                <w:rFonts w:ascii="Century" w:hAnsi="Century"/>
                <w:color w:val="404040"/>
              </w:rPr>
              <w:t>8</w:t>
            </w:r>
            <w:r w:rsidR="002D03B6" w:rsidRPr="00A41A00">
              <w:rPr>
                <w:rFonts w:ascii="Century" w:hAnsi="Century"/>
                <w:color w:val="404040"/>
              </w:rPr>
              <w:t>A</w:t>
            </w:r>
            <w:r w:rsidR="00630E1A" w:rsidRPr="00A41A00">
              <w:rPr>
                <w:rFonts w:ascii="Century" w:hAnsi="Century"/>
                <w:color w:val="404040"/>
              </w:rPr>
              <w:t>-4</w:t>
            </w:r>
            <w:r w:rsidR="002D03B6" w:rsidRPr="00A41A00">
              <w:rPr>
                <w:rFonts w:ascii="Century" w:hAnsi="Century"/>
                <w:color w:val="404040"/>
              </w:rPr>
              <w:t>8B</w:t>
            </w:r>
            <w:r w:rsidRPr="00A41A00">
              <w:rPr>
                <w:rFonts w:ascii="Century" w:hAnsi="Century"/>
                <w:color w:val="404040"/>
              </w:rPr>
              <w:t>.</w:t>
            </w:r>
          </w:p>
          <w:p w:rsidR="000447FE" w:rsidRPr="00367FA3" w:rsidRDefault="000447FE" w:rsidP="000447FE">
            <w:pPr>
              <w:pStyle w:val="NormalWeb"/>
              <w:spacing w:before="0" w:beforeAutospacing="0" w:after="0" w:afterAutospacing="0"/>
              <w:jc w:val="both"/>
              <w:rPr>
                <w:rFonts w:ascii="Century" w:hAnsi="Century"/>
                <w:color w:val="808080"/>
                <w:highlight w:val="yellow"/>
              </w:rPr>
            </w:pPr>
          </w:p>
        </w:tc>
      </w:tr>
      <w:tr w:rsidR="00D86152" w:rsidRPr="00367FA3">
        <w:tc>
          <w:tcPr>
            <w:tcW w:w="9855" w:type="dxa"/>
            <w:gridSpan w:val="5"/>
          </w:tcPr>
          <w:p w:rsidR="006F5268" w:rsidRPr="00CF634F" w:rsidRDefault="006F5268" w:rsidP="00A13177">
            <w:pPr>
              <w:pStyle w:val="ResimYazs"/>
              <w:jc w:val="center"/>
              <w:rPr>
                <w:rFonts w:ascii="Century" w:hAnsi="Century"/>
                <w:lang w:val="tr-TR"/>
              </w:rPr>
            </w:pPr>
            <w:bookmarkStart w:id="122" w:name="_Toc170665562"/>
            <w:r w:rsidRPr="00CF634F">
              <w:rPr>
                <w:rFonts w:ascii="Century" w:hAnsi="Century"/>
                <w:lang w:val="tr-TR"/>
              </w:rPr>
              <w:lastRenderedPageBreak/>
              <w:t xml:space="preserve">Tablo </w:t>
            </w:r>
            <w:r w:rsidRPr="00CF634F">
              <w:rPr>
                <w:rFonts w:ascii="Century" w:hAnsi="Century"/>
                <w:lang w:val="tr-TR"/>
              </w:rPr>
              <w:fldChar w:fldCharType="begin"/>
            </w:r>
            <w:r w:rsidRPr="00CF634F">
              <w:rPr>
                <w:rFonts w:ascii="Century" w:hAnsi="Century"/>
                <w:lang w:val="tr-TR"/>
              </w:rPr>
              <w:instrText xml:space="preserve"> STYLEREF 2 \s </w:instrText>
            </w:r>
            <w:r w:rsidRPr="00CF634F">
              <w:rPr>
                <w:rFonts w:ascii="Century" w:hAnsi="Century"/>
                <w:lang w:val="tr-TR"/>
              </w:rPr>
              <w:fldChar w:fldCharType="separate"/>
            </w:r>
            <w:r w:rsidR="00DA718E">
              <w:rPr>
                <w:rFonts w:ascii="Century" w:hAnsi="Century"/>
                <w:noProof/>
                <w:lang w:val="tr-TR"/>
              </w:rPr>
              <w:t>2.1</w:t>
            </w:r>
            <w:r w:rsidRPr="00CF634F">
              <w:rPr>
                <w:rFonts w:ascii="Century" w:hAnsi="Century"/>
                <w:lang w:val="tr-TR"/>
              </w:rPr>
              <w:fldChar w:fldCharType="end"/>
            </w:r>
            <w:r w:rsidRPr="00CF634F">
              <w:rPr>
                <w:rFonts w:ascii="Century" w:hAnsi="Century"/>
                <w:lang w:val="tr-TR"/>
              </w:rPr>
              <w:noBreakHyphen/>
            </w:r>
            <w:r w:rsidRPr="00CF634F">
              <w:rPr>
                <w:rFonts w:ascii="Century" w:hAnsi="Century"/>
                <w:lang w:val="tr-TR"/>
              </w:rPr>
              <w:fldChar w:fldCharType="begin"/>
            </w:r>
            <w:r w:rsidRPr="00CF634F">
              <w:rPr>
                <w:rFonts w:ascii="Century" w:hAnsi="Century"/>
                <w:lang w:val="tr-TR"/>
              </w:rPr>
              <w:instrText xml:space="preserve"> SEQ Tablo \* ARABIC \s 2 </w:instrText>
            </w:r>
            <w:r w:rsidRPr="00CF634F">
              <w:rPr>
                <w:rFonts w:ascii="Century" w:hAnsi="Century"/>
                <w:lang w:val="tr-TR"/>
              </w:rPr>
              <w:fldChar w:fldCharType="separate"/>
            </w:r>
            <w:r w:rsidR="00DA718E">
              <w:rPr>
                <w:rFonts w:ascii="Century" w:hAnsi="Century"/>
                <w:noProof/>
                <w:lang w:val="tr-TR"/>
              </w:rPr>
              <w:t>1</w:t>
            </w:r>
            <w:r w:rsidRPr="00CF634F">
              <w:rPr>
                <w:rFonts w:ascii="Century" w:hAnsi="Century"/>
                <w:lang w:val="tr-TR"/>
              </w:rPr>
              <w:fldChar w:fldCharType="end"/>
            </w:r>
            <w:r w:rsidRPr="00CF634F">
              <w:rPr>
                <w:rFonts w:ascii="Century" w:hAnsi="Century"/>
                <w:lang w:val="tr-TR"/>
              </w:rPr>
              <w:t xml:space="preserve">; </w:t>
            </w:r>
            <w:r w:rsidR="00CF634F" w:rsidRPr="00CF634F">
              <w:rPr>
                <w:rFonts w:ascii="Century" w:hAnsi="Century"/>
                <w:bCs w:val="0"/>
                <w:lang w:val="tr-TR"/>
              </w:rPr>
              <w:t>DASK 2007</w:t>
            </w:r>
            <w:r w:rsidRPr="00CF634F">
              <w:rPr>
                <w:rFonts w:ascii="Century" w:hAnsi="Century"/>
                <w:bCs w:val="0"/>
                <w:lang w:val="tr-TR"/>
              </w:rPr>
              <w:t xml:space="preserve"> Yılı Genel Verileri - </w:t>
            </w:r>
            <w:r w:rsidRPr="00CF634F">
              <w:rPr>
                <w:rFonts w:ascii="Century" w:hAnsi="Century"/>
                <w:b w:val="0"/>
                <w:i/>
                <w:iCs/>
                <w:lang w:val="tr-TR"/>
              </w:rPr>
              <w:t>TCIP's General Indicators for 200</w:t>
            </w:r>
            <w:bookmarkEnd w:id="122"/>
            <w:r w:rsidR="00CF634F" w:rsidRPr="00CF634F">
              <w:rPr>
                <w:rFonts w:ascii="Century" w:hAnsi="Century"/>
                <w:b w:val="0"/>
                <w:i/>
                <w:iCs/>
                <w:lang w:val="tr-TR"/>
              </w:rPr>
              <w:t>7</w:t>
            </w:r>
          </w:p>
          <w:p w:rsidR="00D86152" w:rsidRPr="00055418" w:rsidRDefault="00055418" w:rsidP="00A13177">
            <w:pPr>
              <w:jc w:val="center"/>
              <w:rPr>
                <w:rFonts w:ascii="Century" w:hAnsi="Century"/>
                <w:highlight w:val="yellow"/>
                <w:lang w:val="tr-TR"/>
              </w:rPr>
            </w:pPr>
            <w:r w:rsidRPr="00055418">
              <w:rPr>
                <w:rFonts w:ascii="Century" w:hAnsi="Century"/>
                <w:lang w:val="tr-TR"/>
              </w:rPr>
              <w:pict>
                <v:shape id="_x0000_i1080" type="#_x0000_t75" style="width:323.25pt;height:51pt">
                  <v:imagedata r:id="rId70" o:title=""/>
                </v:shape>
              </w:pict>
            </w:r>
          </w:p>
        </w:tc>
      </w:tr>
      <w:tr w:rsidR="00D86152" w:rsidRPr="00367FA3">
        <w:trPr>
          <w:trHeight w:val="962"/>
        </w:trPr>
        <w:tc>
          <w:tcPr>
            <w:tcW w:w="4815" w:type="dxa"/>
            <w:gridSpan w:val="2"/>
          </w:tcPr>
          <w:p w:rsidR="00332CCA" w:rsidRPr="00367FA3" w:rsidRDefault="00332CCA" w:rsidP="008D17FE">
            <w:pPr>
              <w:jc w:val="both"/>
              <w:rPr>
                <w:rFonts w:ascii="Century" w:hAnsi="Century"/>
                <w:highlight w:val="yellow"/>
                <w:lang w:val="tr-TR"/>
              </w:rPr>
            </w:pPr>
          </w:p>
          <w:p w:rsidR="006F5268" w:rsidRPr="0056458D" w:rsidRDefault="0056458D" w:rsidP="008D17FE">
            <w:pPr>
              <w:jc w:val="both"/>
              <w:rPr>
                <w:rFonts w:ascii="Century" w:hAnsi="Century"/>
                <w:lang w:val="tr-TR"/>
              </w:rPr>
            </w:pPr>
            <w:r w:rsidRPr="0056458D">
              <w:rPr>
                <w:rFonts w:ascii="Century" w:hAnsi="Century"/>
                <w:lang w:val="tr-TR"/>
              </w:rPr>
              <w:t>31.12.2007</w:t>
            </w:r>
            <w:r w:rsidR="00A10A27" w:rsidRPr="0056458D">
              <w:rPr>
                <w:rFonts w:ascii="Century" w:hAnsi="Century"/>
                <w:lang w:val="tr-TR"/>
              </w:rPr>
              <w:t xml:space="preserve"> tarihi itibariyle</w:t>
            </w:r>
            <w:r w:rsidR="006F5268" w:rsidRPr="0056458D">
              <w:rPr>
                <w:rFonts w:ascii="Century" w:hAnsi="Century"/>
                <w:lang w:val="tr-TR"/>
              </w:rPr>
              <w:t xml:space="preserve"> DASK fonlarının dağılımı </w:t>
            </w:r>
            <w:r w:rsidR="00A10A27" w:rsidRPr="0056458D">
              <w:rPr>
                <w:rFonts w:ascii="Century" w:hAnsi="Century"/>
                <w:lang w:val="tr-TR"/>
              </w:rPr>
              <w:t>aşağıda sunulmuştur.</w:t>
            </w:r>
          </w:p>
          <w:p w:rsidR="00D86152" w:rsidRPr="00367FA3" w:rsidRDefault="00D86152"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color w:val="1C1C1C"/>
                <w:highlight w:val="yellow"/>
                <w:lang w:val="tr-TR"/>
              </w:rPr>
            </w:pPr>
          </w:p>
          <w:p w:rsidR="00D07D1A" w:rsidRPr="00A41A00" w:rsidRDefault="00D07D1A" w:rsidP="00D07D1A">
            <w:pPr>
              <w:jc w:val="both"/>
              <w:rPr>
                <w:rFonts w:ascii="Century" w:hAnsi="Century"/>
                <w:color w:val="404040"/>
              </w:rPr>
            </w:pPr>
            <w:r w:rsidRPr="00A41A00">
              <w:rPr>
                <w:rFonts w:ascii="Century" w:hAnsi="Century"/>
                <w:color w:val="404040"/>
              </w:rPr>
              <w:t xml:space="preserve">Distribution of funds of the Pool as at </w:t>
            </w:r>
            <w:smartTag w:uri="urn:schemas-microsoft-com:office:smarttags" w:element="date">
              <w:smartTagPr>
                <w:attr w:name="Year" w:val="2007"/>
                <w:attr w:name="Day" w:val="31"/>
                <w:attr w:name="Month" w:val="12"/>
              </w:smartTagPr>
              <w:r w:rsidRPr="00A41A00">
                <w:rPr>
                  <w:rFonts w:ascii="Century" w:hAnsi="Century"/>
                  <w:color w:val="404040"/>
                </w:rPr>
                <w:t>December</w:t>
              </w:r>
              <w:r w:rsidR="00A3656C" w:rsidRPr="00A41A00">
                <w:rPr>
                  <w:rFonts w:ascii="Century" w:hAnsi="Century"/>
                  <w:color w:val="404040"/>
                </w:rPr>
                <w:t xml:space="preserve"> 31,</w:t>
              </w:r>
              <w:r w:rsidR="0056458D" w:rsidRPr="00A41A00">
                <w:rPr>
                  <w:rFonts w:ascii="Century" w:hAnsi="Century"/>
                  <w:color w:val="404040"/>
                </w:rPr>
                <w:t xml:space="preserve"> 2007</w:t>
              </w:r>
            </w:smartTag>
            <w:r w:rsidRPr="00A41A00">
              <w:rPr>
                <w:rFonts w:ascii="Century" w:hAnsi="Century"/>
                <w:color w:val="404040"/>
              </w:rPr>
              <w:t xml:space="preserve"> is shown in the table below.</w:t>
            </w:r>
          </w:p>
          <w:p w:rsidR="00D07D1A" w:rsidRPr="00367FA3" w:rsidRDefault="00D07D1A" w:rsidP="008D17FE">
            <w:pPr>
              <w:rPr>
                <w:rFonts w:ascii="Century" w:hAnsi="Century"/>
                <w:color w:val="1C1C1C"/>
                <w:highlight w:val="yellow"/>
                <w:lang w:val="tr-TR"/>
              </w:rPr>
            </w:pPr>
          </w:p>
        </w:tc>
      </w:tr>
      <w:tr w:rsidR="00D86152" w:rsidRPr="00367FA3">
        <w:tc>
          <w:tcPr>
            <w:tcW w:w="9855" w:type="dxa"/>
            <w:gridSpan w:val="5"/>
          </w:tcPr>
          <w:p w:rsidR="006F5268" w:rsidRPr="0056458D" w:rsidRDefault="006F5268" w:rsidP="00A13177">
            <w:pPr>
              <w:pStyle w:val="ResimYazs"/>
              <w:jc w:val="center"/>
              <w:rPr>
                <w:rFonts w:ascii="Century" w:hAnsi="Century"/>
                <w:lang w:val="tr-TR"/>
              </w:rPr>
            </w:pPr>
            <w:bookmarkStart w:id="123" w:name="_Toc170665563"/>
            <w:r w:rsidRPr="0056458D">
              <w:rPr>
                <w:rFonts w:ascii="Century" w:hAnsi="Century"/>
                <w:lang w:val="tr-TR"/>
              </w:rPr>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DA718E">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DA718E">
              <w:rPr>
                <w:rFonts w:ascii="Century" w:hAnsi="Century"/>
                <w:noProof/>
                <w:lang w:val="tr-TR"/>
              </w:rPr>
              <w:t>2</w:t>
            </w:r>
            <w:r w:rsidRPr="0056458D">
              <w:rPr>
                <w:rFonts w:ascii="Century" w:hAnsi="Century"/>
                <w:lang w:val="tr-TR"/>
              </w:rPr>
              <w:fldChar w:fldCharType="end"/>
            </w:r>
            <w:r w:rsidRPr="0056458D">
              <w:rPr>
                <w:rFonts w:ascii="Century" w:hAnsi="Century"/>
                <w:lang w:val="tr-TR"/>
              </w:rPr>
              <w:t xml:space="preserve">; </w:t>
            </w:r>
            <w:r w:rsidRPr="0056458D">
              <w:rPr>
                <w:rFonts w:ascii="Century" w:hAnsi="Century"/>
                <w:bCs w:val="0"/>
                <w:lang w:val="tr-TR"/>
              </w:rPr>
              <w:t xml:space="preserve">DASK Fonlarının Dağılımı (YTL) - </w:t>
            </w:r>
            <w:r w:rsidR="00752D5D" w:rsidRPr="0056458D">
              <w:rPr>
                <w:rFonts w:ascii="Century" w:hAnsi="Century"/>
                <w:b w:val="0"/>
                <w:i/>
                <w:iCs/>
                <w:lang w:val="tr-TR"/>
              </w:rPr>
              <w:t>The Distribution of t</w:t>
            </w:r>
            <w:r w:rsidRPr="0056458D">
              <w:rPr>
                <w:rFonts w:ascii="Century" w:hAnsi="Century"/>
                <w:b w:val="0"/>
                <w:i/>
                <w:iCs/>
                <w:lang w:val="tr-TR"/>
              </w:rPr>
              <w:t>he Funds of TCIP</w:t>
            </w:r>
            <w:bookmarkEnd w:id="123"/>
          </w:p>
          <w:p w:rsidR="00D86152" w:rsidRPr="00055418" w:rsidRDefault="00055418" w:rsidP="00A13177">
            <w:pPr>
              <w:jc w:val="center"/>
              <w:rPr>
                <w:rFonts w:ascii="Century" w:hAnsi="Century"/>
                <w:highlight w:val="yellow"/>
                <w:lang w:val="tr-TR"/>
              </w:rPr>
            </w:pPr>
            <w:r w:rsidRPr="00055418">
              <w:rPr>
                <w:rFonts w:ascii="Century" w:hAnsi="Century"/>
                <w:lang w:val="tr-TR"/>
              </w:rPr>
              <w:pict>
                <v:shape id="_x0000_i1081" type="#_x0000_t75" style="width:314.25pt;height:75.75pt">
                  <v:imagedata r:id="rId71" o:title=""/>
                </v:shape>
              </w:pict>
            </w:r>
          </w:p>
        </w:tc>
      </w:tr>
      <w:tr w:rsidR="00D86152" w:rsidRPr="00367FA3">
        <w:tc>
          <w:tcPr>
            <w:tcW w:w="4815" w:type="dxa"/>
            <w:gridSpan w:val="2"/>
          </w:tcPr>
          <w:p w:rsidR="00ED493E" w:rsidRPr="0003798C" w:rsidRDefault="00ED493E" w:rsidP="008D17FE">
            <w:pPr>
              <w:jc w:val="both"/>
              <w:rPr>
                <w:rFonts w:ascii="Century" w:hAnsi="Century"/>
                <w:lang w:val="tr-TR"/>
              </w:rPr>
            </w:pPr>
          </w:p>
          <w:p w:rsidR="006F5268" w:rsidRPr="0003798C" w:rsidRDefault="00A10A27" w:rsidP="00DE3CFE">
            <w:pPr>
              <w:jc w:val="both"/>
              <w:rPr>
                <w:rFonts w:ascii="Century" w:hAnsi="Century"/>
                <w:lang w:val="tr-TR"/>
              </w:rPr>
            </w:pPr>
            <w:r w:rsidRPr="0003798C">
              <w:rPr>
                <w:rFonts w:ascii="Century" w:hAnsi="Century"/>
                <w:lang w:val="tr-TR"/>
              </w:rPr>
              <w:t>DASK</w:t>
            </w:r>
            <w:r w:rsidR="006F5268" w:rsidRPr="0003798C">
              <w:rPr>
                <w:rFonts w:ascii="Century" w:hAnsi="Century"/>
                <w:lang w:val="tr-TR"/>
              </w:rPr>
              <w:t xml:space="preserve"> fonlarının önemli bir kısmı </w:t>
            </w:r>
            <w:r w:rsidR="00823A36">
              <w:rPr>
                <w:rFonts w:ascii="Century" w:hAnsi="Century"/>
                <w:lang w:val="tr-TR"/>
              </w:rPr>
              <w:t xml:space="preserve">vadeli türk lirası </w:t>
            </w:r>
            <w:r w:rsidR="006F5268" w:rsidRPr="0003798C">
              <w:rPr>
                <w:rFonts w:ascii="Century" w:hAnsi="Century"/>
                <w:lang w:val="tr-TR"/>
              </w:rPr>
              <w:t>mevduat hesaplarında değerlendirilmektedir.</w:t>
            </w:r>
          </w:p>
          <w:p w:rsidR="006F5268" w:rsidRPr="0003798C" w:rsidRDefault="006F5268" w:rsidP="00DE3CFE">
            <w:pPr>
              <w:jc w:val="both"/>
              <w:rPr>
                <w:rFonts w:ascii="Century" w:hAnsi="Century"/>
                <w:lang w:val="tr-TR"/>
              </w:rPr>
            </w:pPr>
          </w:p>
          <w:p w:rsidR="006F5268" w:rsidRPr="0003798C" w:rsidRDefault="0056458D" w:rsidP="00DE3CFE">
            <w:pPr>
              <w:jc w:val="both"/>
              <w:rPr>
                <w:rFonts w:ascii="Century" w:hAnsi="Century"/>
                <w:lang w:val="tr-TR"/>
              </w:rPr>
            </w:pPr>
            <w:r w:rsidRPr="0003798C">
              <w:rPr>
                <w:rFonts w:ascii="Century" w:hAnsi="Century"/>
                <w:lang w:val="tr-TR"/>
              </w:rPr>
              <w:t>31.12.2007</w:t>
            </w:r>
            <w:r w:rsidR="006F5268" w:rsidRPr="0003798C">
              <w:rPr>
                <w:rFonts w:ascii="Century" w:hAnsi="Century"/>
                <w:lang w:val="tr-TR"/>
              </w:rPr>
              <w:t xml:space="preserve"> tarihi itibariyle bölgeler bazında sigortalı konut sayısının dağılımı ve sigortalılık oranı aşağıda, il bazındaki dağılım ise Tablo </w:t>
            </w:r>
            <w:r w:rsidR="002D03B6">
              <w:rPr>
                <w:rFonts w:ascii="Century" w:hAnsi="Century"/>
                <w:lang w:val="tr-TR"/>
              </w:rPr>
              <w:t>49</w:t>
            </w:r>
            <w:r w:rsidR="006F5268" w:rsidRPr="0003798C">
              <w:rPr>
                <w:rFonts w:ascii="Century" w:hAnsi="Century"/>
                <w:lang w:val="tr-TR"/>
              </w:rPr>
              <w:t>’d</w:t>
            </w:r>
            <w:r w:rsidR="002D03B6">
              <w:rPr>
                <w:rFonts w:ascii="Century" w:hAnsi="Century"/>
                <w:lang w:val="tr-TR"/>
              </w:rPr>
              <w:t>a</w:t>
            </w:r>
            <w:r w:rsidR="006F5268" w:rsidRPr="0003798C">
              <w:rPr>
                <w:rFonts w:ascii="Century" w:hAnsi="Century"/>
                <w:lang w:val="tr-TR"/>
              </w:rPr>
              <w:t xml:space="preserve"> verilmiştir.</w:t>
            </w:r>
          </w:p>
          <w:p w:rsidR="00F66888" w:rsidRPr="0003798C" w:rsidRDefault="00F66888" w:rsidP="008D17FE">
            <w:pPr>
              <w:rPr>
                <w:rFonts w:ascii="Century" w:hAnsi="Century"/>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highlight w:val="yellow"/>
                <w:lang w:val="tr-TR"/>
              </w:rPr>
            </w:pPr>
          </w:p>
          <w:p w:rsidR="006E25F1" w:rsidRPr="00A41A00" w:rsidRDefault="006E25F1" w:rsidP="006E25F1">
            <w:pPr>
              <w:jc w:val="both"/>
              <w:rPr>
                <w:rFonts w:ascii="Century" w:hAnsi="Century"/>
                <w:color w:val="404040"/>
              </w:rPr>
            </w:pPr>
            <w:r w:rsidRPr="00A41A00">
              <w:rPr>
                <w:rFonts w:ascii="Century" w:hAnsi="Century"/>
                <w:color w:val="404040"/>
              </w:rPr>
              <w:t xml:space="preserve">Most of the funds are invested in bank </w:t>
            </w:r>
            <w:r w:rsidR="00823A36">
              <w:rPr>
                <w:rFonts w:ascii="Century" w:hAnsi="Century"/>
                <w:color w:val="404040"/>
              </w:rPr>
              <w:t xml:space="preserve">term </w:t>
            </w:r>
            <w:r w:rsidRPr="00A41A00">
              <w:rPr>
                <w:rFonts w:ascii="Century" w:hAnsi="Century"/>
                <w:color w:val="404040"/>
              </w:rPr>
              <w:t>deposits.</w:t>
            </w:r>
          </w:p>
          <w:p w:rsidR="00D07D1A" w:rsidRPr="00A41A00" w:rsidRDefault="00D07D1A" w:rsidP="008D17FE">
            <w:pPr>
              <w:rPr>
                <w:rFonts w:ascii="Century" w:hAnsi="Century"/>
                <w:color w:val="404040"/>
                <w:lang w:val="tr-TR"/>
              </w:rPr>
            </w:pPr>
          </w:p>
          <w:p w:rsidR="00A44CD7" w:rsidRPr="00A41A00" w:rsidRDefault="00A44CD7" w:rsidP="008D17FE">
            <w:pPr>
              <w:rPr>
                <w:rFonts w:ascii="Century" w:hAnsi="Century"/>
                <w:color w:val="404040"/>
                <w:lang w:val="tr-TR"/>
              </w:rPr>
            </w:pPr>
          </w:p>
          <w:p w:rsidR="00A44CD7" w:rsidRPr="00A41A00" w:rsidRDefault="00A44CD7" w:rsidP="00A44CD7">
            <w:pPr>
              <w:jc w:val="both"/>
              <w:rPr>
                <w:rFonts w:ascii="Century" w:hAnsi="Century"/>
                <w:color w:val="404040"/>
              </w:rPr>
            </w:pPr>
            <w:r w:rsidRPr="00A41A00">
              <w:rPr>
                <w:rFonts w:ascii="Century" w:hAnsi="Century"/>
                <w:color w:val="404040"/>
              </w:rPr>
              <w:t xml:space="preserve">Distribution of insurable dwellings according to geographical regions and insurance ratios are given in table below and distribution according to provinces is in Table </w:t>
            </w:r>
            <w:r w:rsidR="002D03B6" w:rsidRPr="00A41A00">
              <w:rPr>
                <w:rFonts w:ascii="Century" w:hAnsi="Century"/>
                <w:color w:val="404040"/>
              </w:rPr>
              <w:t>49</w:t>
            </w:r>
            <w:r w:rsidRPr="00A41A00">
              <w:rPr>
                <w:rFonts w:ascii="Century" w:hAnsi="Century"/>
                <w:color w:val="404040"/>
              </w:rPr>
              <w:t>.</w:t>
            </w:r>
          </w:p>
          <w:p w:rsidR="00A44CD7" w:rsidRPr="00367FA3" w:rsidRDefault="00A44CD7" w:rsidP="008D17FE">
            <w:pPr>
              <w:rPr>
                <w:rFonts w:ascii="Century" w:hAnsi="Century"/>
                <w:highlight w:val="yellow"/>
                <w:lang w:val="tr-TR"/>
              </w:rPr>
            </w:pPr>
          </w:p>
        </w:tc>
      </w:tr>
      <w:tr w:rsidR="00D86152" w:rsidRPr="00367FA3">
        <w:tc>
          <w:tcPr>
            <w:tcW w:w="9855" w:type="dxa"/>
            <w:gridSpan w:val="5"/>
          </w:tcPr>
          <w:p w:rsidR="006F5268" w:rsidRPr="0056458D" w:rsidRDefault="006F5268" w:rsidP="00A13177">
            <w:pPr>
              <w:pStyle w:val="ResimYazs"/>
              <w:jc w:val="center"/>
              <w:rPr>
                <w:rFonts w:ascii="Century" w:hAnsi="Century"/>
                <w:lang w:val="tr-TR"/>
              </w:rPr>
            </w:pPr>
            <w:bookmarkStart w:id="124" w:name="_Toc170665564"/>
            <w:r w:rsidRPr="0056458D">
              <w:rPr>
                <w:rFonts w:ascii="Century" w:hAnsi="Century"/>
                <w:lang w:val="tr-TR"/>
              </w:rPr>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DA718E">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DA718E">
              <w:rPr>
                <w:rFonts w:ascii="Century" w:hAnsi="Century"/>
                <w:noProof/>
                <w:lang w:val="tr-TR"/>
              </w:rPr>
              <w:t>3</w:t>
            </w:r>
            <w:r w:rsidRPr="0056458D">
              <w:rPr>
                <w:rFonts w:ascii="Century" w:hAnsi="Century"/>
                <w:lang w:val="tr-TR"/>
              </w:rPr>
              <w:fldChar w:fldCharType="end"/>
            </w:r>
            <w:r w:rsidRPr="0056458D">
              <w:rPr>
                <w:rFonts w:ascii="Century" w:hAnsi="Century"/>
                <w:lang w:val="tr-TR"/>
              </w:rPr>
              <w:t xml:space="preserve">; </w:t>
            </w:r>
            <w:r w:rsidRPr="0056458D">
              <w:rPr>
                <w:rFonts w:ascii="Century" w:hAnsi="Century"/>
                <w:bCs w:val="0"/>
                <w:lang w:val="tr-TR"/>
              </w:rPr>
              <w:t xml:space="preserve">Bölgeler Bazında Sigortalılık Oranı - </w:t>
            </w:r>
            <w:r w:rsidRPr="0056458D">
              <w:rPr>
                <w:rFonts w:ascii="Century" w:hAnsi="Century"/>
                <w:b w:val="0"/>
                <w:i/>
                <w:iCs/>
                <w:lang w:val="tr-TR"/>
              </w:rPr>
              <w:t>Insurance Ratio as Region</w:t>
            </w:r>
            <w:bookmarkEnd w:id="124"/>
          </w:p>
          <w:p w:rsidR="001269B8" w:rsidRDefault="00055418" w:rsidP="00A13177">
            <w:pPr>
              <w:jc w:val="center"/>
              <w:rPr>
                <w:rFonts w:ascii="Century" w:hAnsi="Century"/>
                <w:lang w:val="tr-TR"/>
              </w:rPr>
            </w:pPr>
            <w:r w:rsidRPr="00055418">
              <w:rPr>
                <w:rFonts w:ascii="Century" w:hAnsi="Century"/>
                <w:lang w:val="tr-TR"/>
              </w:rPr>
              <w:pict>
                <v:shape id="_x0000_i1082" type="#_x0000_t75" style="width:458.25pt;height:143.25pt">
                  <v:imagedata r:id="rId72" o:title=""/>
                </v:shape>
              </w:pict>
            </w:r>
          </w:p>
          <w:p w:rsidR="00055418" w:rsidRPr="00055418" w:rsidRDefault="00055418" w:rsidP="00A13177">
            <w:pPr>
              <w:jc w:val="center"/>
              <w:rPr>
                <w:rFonts w:ascii="Century" w:hAnsi="Century"/>
                <w:highlight w:val="yellow"/>
                <w:lang w:val="tr-TR"/>
              </w:rPr>
            </w:pPr>
          </w:p>
        </w:tc>
      </w:tr>
      <w:tr w:rsidR="00D86152" w:rsidRPr="00367FA3">
        <w:tc>
          <w:tcPr>
            <w:tcW w:w="4815" w:type="dxa"/>
            <w:gridSpan w:val="2"/>
          </w:tcPr>
          <w:p w:rsidR="006F5268" w:rsidRPr="00055418" w:rsidRDefault="004A0E3D" w:rsidP="008D17FE">
            <w:pPr>
              <w:jc w:val="both"/>
              <w:rPr>
                <w:rFonts w:ascii="Century" w:hAnsi="Century"/>
                <w:lang w:val="tr-TR"/>
              </w:rPr>
            </w:pPr>
            <w:r w:rsidRPr="00055418">
              <w:rPr>
                <w:rFonts w:ascii="Century" w:hAnsi="Century"/>
                <w:lang w:val="tr-TR"/>
              </w:rPr>
              <w:lastRenderedPageBreak/>
              <w:t>S</w:t>
            </w:r>
            <w:r w:rsidR="006F5268" w:rsidRPr="00055418">
              <w:rPr>
                <w:rFonts w:ascii="Century" w:hAnsi="Century"/>
                <w:lang w:val="tr-TR"/>
              </w:rPr>
              <w:t>igortalılık oranının en yüksek olduğu bölge Marmara Bölgesi olup, onu İç Anadolu ve Ege Bölgesi takip etmektedir.</w:t>
            </w:r>
          </w:p>
          <w:p w:rsidR="006F5268" w:rsidRPr="00055418" w:rsidRDefault="006F5268" w:rsidP="008D17FE">
            <w:pPr>
              <w:jc w:val="both"/>
              <w:rPr>
                <w:rFonts w:ascii="Century" w:hAnsi="Century"/>
                <w:lang w:val="tr-TR"/>
              </w:rPr>
            </w:pPr>
          </w:p>
          <w:p w:rsidR="00332CCA" w:rsidRPr="0056458D" w:rsidRDefault="006F5268" w:rsidP="001118AE">
            <w:pPr>
              <w:jc w:val="both"/>
              <w:rPr>
                <w:rFonts w:ascii="Century" w:hAnsi="Century"/>
                <w:lang w:val="tr-TR"/>
              </w:rPr>
            </w:pPr>
            <w:r w:rsidRPr="0056458D">
              <w:rPr>
                <w:rFonts w:ascii="Century" w:hAnsi="Century"/>
                <w:lang w:val="tr-TR"/>
              </w:rPr>
              <w:t>Yıllar itibariyle yazılan poliçe adetler</w:t>
            </w:r>
            <w:r w:rsidR="001118AE" w:rsidRPr="0056458D">
              <w:rPr>
                <w:rFonts w:ascii="Century" w:hAnsi="Century"/>
                <w:lang w:val="tr-TR"/>
              </w:rPr>
              <w:t>inin ve prim tutarlarının seyri aşağıda verilmiştir.</w:t>
            </w:r>
          </w:p>
          <w:p w:rsidR="007C4124" w:rsidRPr="00367FA3" w:rsidRDefault="007C4124"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A44CD7" w:rsidRPr="00A41A00" w:rsidRDefault="00A44CD7" w:rsidP="00A44CD7">
            <w:pPr>
              <w:jc w:val="both"/>
              <w:rPr>
                <w:rFonts w:ascii="Century" w:hAnsi="Century"/>
                <w:color w:val="404040"/>
              </w:rPr>
            </w:pPr>
            <w:r w:rsidRPr="00A41A00">
              <w:rPr>
                <w:rFonts w:ascii="Century" w:hAnsi="Century"/>
                <w:color w:val="404040"/>
              </w:rPr>
              <w:t xml:space="preserve">The Marmara region has the insured ratio and followed by </w:t>
            </w:r>
            <w:smartTag w:uri="urn:schemas-microsoft-com:office:smarttags" w:element="place">
              <w:r w:rsidRPr="00A41A00">
                <w:rPr>
                  <w:rFonts w:ascii="Century" w:hAnsi="Century"/>
                  <w:color w:val="404040"/>
                </w:rPr>
                <w:t>Central Anatolia</w:t>
              </w:r>
            </w:smartTag>
            <w:r w:rsidRPr="00A41A00">
              <w:rPr>
                <w:rFonts w:ascii="Century" w:hAnsi="Century"/>
                <w:color w:val="404040"/>
              </w:rPr>
              <w:t xml:space="preserve"> and Aegean Regions.</w:t>
            </w:r>
          </w:p>
          <w:p w:rsidR="00A44CD7" w:rsidRPr="00A41A00" w:rsidRDefault="00A44CD7" w:rsidP="008D17FE">
            <w:pPr>
              <w:rPr>
                <w:rFonts w:ascii="Century" w:hAnsi="Century"/>
                <w:color w:val="404040"/>
                <w:lang w:val="tr-TR"/>
              </w:rPr>
            </w:pPr>
          </w:p>
          <w:p w:rsidR="00A44CD7" w:rsidRPr="00A41A00" w:rsidRDefault="00A44CD7" w:rsidP="008D17FE">
            <w:pPr>
              <w:rPr>
                <w:rFonts w:ascii="Century" w:hAnsi="Century"/>
                <w:color w:val="404040"/>
                <w:highlight w:val="yellow"/>
                <w:lang w:val="tr-TR"/>
              </w:rPr>
            </w:pPr>
          </w:p>
          <w:p w:rsidR="00A44CD7" w:rsidRPr="00A41A00" w:rsidRDefault="00A44CD7" w:rsidP="00A44CD7">
            <w:pPr>
              <w:jc w:val="both"/>
              <w:rPr>
                <w:rFonts w:ascii="Century" w:hAnsi="Century"/>
                <w:color w:val="404040"/>
              </w:rPr>
            </w:pPr>
            <w:r w:rsidRPr="00A41A00">
              <w:rPr>
                <w:rFonts w:ascii="Century" w:hAnsi="Century"/>
                <w:color w:val="404040"/>
              </w:rPr>
              <w:t>Written policies and premium volumes for years are given below.</w:t>
            </w:r>
          </w:p>
          <w:p w:rsidR="00A44CD7" w:rsidRPr="00367FA3" w:rsidRDefault="00A44CD7" w:rsidP="008D17FE">
            <w:pPr>
              <w:rPr>
                <w:rFonts w:ascii="Century" w:hAnsi="Century"/>
                <w:highlight w:val="yellow"/>
                <w:lang w:val="tr-TR"/>
              </w:rPr>
            </w:pPr>
          </w:p>
        </w:tc>
      </w:tr>
      <w:tr w:rsidR="00D86152" w:rsidRPr="00367FA3">
        <w:tc>
          <w:tcPr>
            <w:tcW w:w="9855" w:type="dxa"/>
            <w:gridSpan w:val="5"/>
          </w:tcPr>
          <w:p w:rsidR="006F5268" w:rsidRPr="0056458D" w:rsidRDefault="006F5268" w:rsidP="00A13177">
            <w:pPr>
              <w:pStyle w:val="ResimYazs"/>
              <w:jc w:val="center"/>
              <w:rPr>
                <w:rFonts w:ascii="Century" w:hAnsi="Century"/>
                <w:lang w:val="tr-TR"/>
              </w:rPr>
            </w:pPr>
            <w:bookmarkStart w:id="125" w:name="_Toc170665565"/>
            <w:r w:rsidRPr="0056458D">
              <w:rPr>
                <w:rFonts w:ascii="Century" w:hAnsi="Century"/>
                <w:lang w:val="tr-TR"/>
              </w:rPr>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DA718E">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DA718E">
              <w:rPr>
                <w:rFonts w:ascii="Century" w:hAnsi="Century"/>
                <w:noProof/>
                <w:lang w:val="tr-TR"/>
              </w:rPr>
              <w:t>4</w:t>
            </w:r>
            <w:r w:rsidRPr="0056458D">
              <w:rPr>
                <w:rFonts w:ascii="Century" w:hAnsi="Century"/>
                <w:lang w:val="tr-TR"/>
              </w:rPr>
              <w:fldChar w:fldCharType="end"/>
            </w:r>
            <w:r w:rsidRPr="0056458D">
              <w:rPr>
                <w:rFonts w:ascii="Century" w:hAnsi="Century"/>
                <w:lang w:val="tr-TR"/>
              </w:rPr>
              <w:t xml:space="preserve">; </w:t>
            </w:r>
            <w:r w:rsidRPr="0056458D">
              <w:rPr>
                <w:rFonts w:ascii="Century" w:hAnsi="Century"/>
                <w:bCs w:val="0"/>
                <w:lang w:val="tr-TR"/>
              </w:rPr>
              <w:t>Poliçe Adetleri / Prim Tutarı -</w:t>
            </w:r>
            <w:r w:rsidRPr="0056458D">
              <w:rPr>
                <w:rFonts w:ascii="Century" w:hAnsi="Century"/>
                <w:i/>
                <w:iCs/>
                <w:lang w:val="tr-TR"/>
              </w:rPr>
              <w:t xml:space="preserve"> </w:t>
            </w:r>
            <w:r w:rsidRPr="0056458D">
              <w:rPr>
                <w:rFonts w:ascii="Century" w:hAnsi="Century"/>
                <w:b w:val="0"/>
                <w:i/>
                <w:iCs/>
                <w:lang w:val="tr-TR"/>
              </w:rPr>
              <w:t>No.of Policies / Premium</w:t>
            </w:r>
            <w:bookmarkEnd w:id="125"/>
          </w:p>
          <w:p w:rsidR="00D86152" w:rsidRPr="00055418" w:rsidRDefault="00055418" w:rsidP="00A13177">
            <w:pPr>
              <w:jc w:val="center"/>
              <w:rPr>
                <w:rFonts w:ascii="Century" w:hAnsi="Century"/>
                <w:highlight w:val="yellow"/>
                <w:lang w:val="tr-TR"/>
              </w:rPr>
            </w:pPr>
            <w:r w:rsidRPr="00055418">
              <w:rPr>
                <w:rFonts w:ascii="Century" w:hAnsi="Century"/>
                <w:lang w:val="tr-TR"/>
              </w:rPr>
              <w:pict>
                <v:shape id="_x0000_i1083" type="#_x0000_t75" style="width:222.75pt;height:138.75pt">
                  <v:imagedata r:id="rId73" o:title=""/>
                </v:shape>
              </w:pict>
            </w:r>
          </w:p>
        </w:tc>
      </w:tr>
      <w:tr w:rsidR="00D86152" w:rsidRPr="00367FA3">
        <w:tc>
          <w:tcPr>
            <w:tcW w:w="4815" w:type="dxa"/>
            <w:gridSpan w:val="2"/>
          </w:tcPr>
          <w:p w:rsidR="00332CCA" w:rsidRPr="00367FA3" w:rsidRDefault="00332CCA" w:rsidP="008D17FE">
            <w:pPr>
              <w:jc w:val="both"/>
              <w:rPr>
                <w:rFonts w:ascii="Century" w:hAnsi="Century"/>
                <w:highlight w:val="yellow"/>
                <w:lang w:val="tr-TR"/>
              </w:rPr>
            </w:pPr>
          </w:p>
          <w:p w:rsidR="007C4124" w:rsidRPr="00055418" w:rsidRDefault="007C4124" w:rsidP="008D17FE">
            <w:pPr>
              <w:jc w:val="both"/>
              <w:rPr>
                <w:rFonts w:ascii="Century" w:hAnsi="Century"/>
                <w:lang w:val="tr-TR"/>
              </w:rPr>
            </w:pPr>
          </w:p>
          <w:p w:rsidR="006F5268" w:rsidRPr="00055418" w:rsidRDefault="001118AE" w:rsidP="008D17FE">
            <w:pPr>
              <w:jc w:val="both"/>
              <w:rPr>
                <w:rFonts w:ascii="Century" w:hAnsi="Century"/>
                <w:lang w:val="tr-TR"/>
              </w:rPr>
            </w:pPr>
            <w:r w:rsidRPr="00055418">
              <w:rPr>
                <w:rFonts w:ascii="Century" w:hAnsi="Century"/>
                <w:lang w:val="tr-TR"/>
              </w:rPr>
              <w:t>DASK</w:t>
            </w:r>
            <w:r w:rsidR="006F5268" w:rsidRPr="00055418">
              <w:rPr>
                <w:rFonts w:ascii="Century" w:hAnsi="Century"/>
                <w:lang w:val="tr-TR"/>
              </w:rPr>
              <w:t xml:space="preserve"> poliçe adetlerinde 2001 yılından itibaren başlayan gerileme trendi 200</w:t>
            </w:r>
            <w:r w:rsidR="00823A36">
              <w:rPr>
                <w:rFonts w:ascii="Century" w:hAnsi="Century"/>
                <w:lang w:val="tr-TR"/>
              </w:rPr>
              <w:t>5</w:t>
            </w:r>
            <w:r w:rsidR="006F5268" w:rsidRPr="00055418">
              <w:rPr>
                <w:rFonts w:ascii="Century" w:hAnsi="Century"/>
                <w:lang w:val="tr-TR"/>
              </w:rPr>
              <w:t xml:space="preserve"> yılından itibaren yerini yükselişe bırakmıştır. 2005 yılında yaşanan deprem sayısındaki artış bu</w:t>
            </w:r>
            <w:r w:rsidRPr="00055418">
              <w:rPr>
                <w:rFonts w:ascii="Century" w:hAnsi="Century"/>
                <w:lang w:val="tr-TR"/>
              </w:rPr>
              <w:t xml:space="preserve"> durumda </w:t>
            </w:r>
            <w:r w:rsidR="006F5268" w:rsidRPr="00055418">
              <w:rPr>
                <w:rFonts w:ascii="Century" w:hAnsi="Century"/>
                <w:lang w:val="tr-TR"/>
              </w:rPr>
              <w:t xml:space="preserve"> etkili olmuştur.</w:t>
            </w:r>
          </w:p>
          <w:p w:rsidR="00A44CD7" w:rsidRPr="00055418" w:rsidRDefault="00A44CD7" w:rsidP="008D17FE">
            <w:pPr>
              <w:jc w:val="both"/>
              <w:rPr>
                <w:rFonts w:ascii="Century" w:hAnsi="Century"/>
                <w:lang w:val="tr-TR"/>
              </w:rPr>
            </w:pPr>
          </w:p>
          <w:p w:rsidR="006F5268" w:rsidRPr="0056458D" w:rsidRDefault="006F5268" w:rsidP="008D17FE">
            <w:pPr>
              <w:jc w:val="both"/>
              <w:rPr>
                <w:rFonts w:ascii="Century" w:hAnsi="Century"/>
                <w:lang w:val="tr-TR"/>
              </w:rPr>
            </w:pPr>
            <w:r w:rsidRPr="0056458D">
              <w:rPr>
                <w:rFonts w:ascii="Century" w:hAnsi="Century"/>
                <w:lang w:val="tr-TR"/>
              </w:rPr>
              <w:t xml:space="preserve">Yıllar itibariyle oluşan deprem sayısı ile ödenen </w:t>
            </w:r>
            <w:r w:rsidR="00272F38">
              <w:rPr>
                <w:rFonts w:ascii="Century" w:hAnsi="Century"/>
                <w:lang w:val="tr-TR"/>
              </w:rPr>
              <w:t>tazminat</w:t>
            </w:r>
            <w:r w:rsidRPr="0056458D">
              <w:rPr>
                <w:rFonts w:ascii="Century" w:hAnsi="Century"/>
                <w:lang w:val="tr-TR"/>
              </w:rPr>
              <w:t xml:space="preserve"> sayısı ve tutarlar</w:t>
            </w:r>
            <w:r w:rsidR="001118AE" w:rsidRPr="0056458D">
              <w:rPr>
                <w:rFonts w:ascii="Century" w:hAnsi="Century"/>
                <w:lang w:val="tr-TR"/>
              </w:rPr>
              <w:t>ı</w:t>
            </w:r>
            <w:r w:rsidRPr="0056458D">
              <w:rPr>
                <w:rFonts w:ascii="Century" w:hAnsi="Century"/>
                <w:lang w:val="tr-TR"/>
              </w:rPr>
              <w:t xml:space="preserve"> aşağıda yer almaktadır.</w:t>
            </w:r>
          </w:p>
          <w:p w:rsidR="00332CCA" w:rsidRPr="00367FA3" w:rsidRDefault="00332CCA" w:rsidP="008D17FE">
            <w:pPr>
              <w:rPr>
                <w:rFonts w:ascii="Century" w:hAnsi="Century"/>
                <w:highlight w:val="yellow"/>
                <w:lang w:val="tr-TR"/>
              </w:rPr>
            </w:pPr>
          </w:p>
          <w:p w:rsidR="007C4124" w:rsidRPr="00367FA3" w:rsidRDefault="007C4124"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color w:val="595959"/>
                <w:highlight w:val="yellow"/>
                <w:lang w:val="tr-TR"/>
              </w:rPr>
            </w:pPr>
          </w:p>
          <w:p w:rsidR="00A44CD7" w:rsidRPr="00055418" w:rsidRDefault="00A44CD7" w:rsidP="008D17FE">
            <w:pPr>
              <w:rPr>
                <w:rFonts w:ascii="Century" w:hAnsi="Century"/>
                <w:color w:val="595959"/>
                <w:lang w:val="tr-TR"/>
              </w:rPr>
            </w:pPr>
          </w:p>
          <w:p w:rsidR="00A44CD7" w:rsidRPr="00A41A00" w:rsidRDefault="00A44CD7" w:rsidP="00A44CD7">
            <w:pPr>
              <w:jc w:val="both"/>
              <w:rPr>
                <w:rFonts w:ascii="Century" w:hAnsi="Century"/>
                <w:color w:val="404040"/>
              </w:rPr>
            </w:pPr>
            <w:r w:rsidRPr="00A41A00">
              <w:rPr>
                <w:rFonts w:ascii="Century" w:hAnsi="Century"/>
                <w:color w:val="404040"/>
              </w:rPr>
              <w:t>There has been a significant increase in written policies since 200</w:t>
            </w:r>
            <w:r w:rsidR="00823A36">
              <w:rPr>
                <w:rFonts w:ascii="Century" w:hAnsi="Century"/>
                <w:color w:val="404040"/>
              </w:rPr>
              <w:t>5</w:t>
            </w:r>
            <w:r w:rsidRPr="00A41A00">
              <w:rPr>
                <w:rFonts w:ascii="Century" w:hAnsi="Century"/>
                <w:color w:val="404040"/>
              </w:rPr>
              <w:t xml:space="preserve"> caused mainly by the increase in number of earthquakes in the country.</w:t>
            </w:r>
          </w:p>
          <w:p w:rsidR="00A44CD7" w:rsidRPr="00A41A00" w:rsidRDefault="00A44CD7" w:rsidP="008D17FE">
            <w:pPr>
              <w:rPr>
                <w:rFonts w:ascii="Century" w:hAnsi="Century"/>
                <w:color w:val="404040"/>
                <w:lang w:val="tr-TR"/>
              </w:rPr>
            </w:pPr>
          </w:p>
          <w:p w:rsidR="00A44CD7" w:rsidRPr="00A41A00" w:rsidRDefault="00A44CD7" w:rsidP="008D17FE">
            <w:pPr>
              <w:rPr>
                <w:rFonts w:ascii="Century" w:hAnsi="Century"/>
                <w:color w:val="404040"/>
                <w:highlight w:val="yellow"/>
                <w:lang w:val="tr-TR"/>
              </w:rPr>
            </w:pPr>
          </w:p>
          <w:p w:rsidR="00A44CD7" w:rsidRPr="00A41A00" w:rsidRDefault="00A44CD7" w:rsidP="008D17FE">
            <w:pPr>
              <w:rPr>
                <w:rFonts w:ascii="Century" w:hAnsi="Century"/>
                <w:color w:val="404040"/>
                <w:highlight w:val="yellow"/>
                <w:lang w:val="tr-TR"/>
              </w:rPr>
            </w:pPr>
          </w:p>
          <w:p w:rsidR="00A44CD7" w:rsidRPr="00A41A00" w:rsidRDefault="00A44CD7" w:rsidP="00A44CD7">
            <w:pPr>
              <w:jc w:val="both"/>
              <w:rPr>
                <w:rFonts w:ascii="Century" w:hAnsi="Century"/>
                <w:color w:val="404040"/>
              </w:rPr>
            </w:pPr>
            <w:r w:rsidRPr="00A41A00">
              <w:rPr>
                <w:rFonts w:ascii="Century" w:hAnsi="Century"/>
                <w:color w:val="404040"/>
              </w:rPr>
              <w:t xml:space="preserve">Annual number of earthquakes occurred, number of claims and paid losses for years are given below. </w:t>
            </w:r>
          </w:p>
          <w:p w:rsidR="00A44CD7" w:rsidRPr="00367FA3" w:rsidRDefault="00A44CD7" w:rsidP="008D17FE">
            <w:pPr>
              <w:rPr>
                <w:rFonts w:ascii="Century" w:hAnsi="Century"/>
                <w:color w:val="595959"/>
                <w:highlight w:val="yellow"/>
                <w:lang w:val="tr-TR"/>
              </w:rPr>
            </w:pPr>
          </w:p>
        </w:tc>
      </w:tr>
      <w:tr w:rsidR="00D86152" w:rsidRPr="00367FA3">
        <w:tc>
          <w:tcPr>
            <w:tcW w:w="9855" w:type="dxa"/>
            <w:gridSpan w:val="5"/>
          </w:tcPr>
          <w:p w:rsidR="006F5268" w:rsidRPr="0056458D" w:rsidRDefault="006F5268" w:rsidP="00A13177">
            <w:pPr>
              <w:pStyle w:val="ResimYazs"/>
              <w:jc w:val="center"/>
              <w:rPr>
                <w:rFonts w:ascii="Century" w:hAnsi="Century"/>
                <w:b w:val="0"/>
                <w:lang w:val="tr-TR"/>
              </w:rPr>
            </w:pPr>
            <w:bookmarkStart w:id="126" w:name="_Toc170665566"/>
            <w:r w:rsidRPr="0056458D">
              <w:rPr>
                <w:rFonts w:ascii="Century" w:hAnsi="Century"/>
                <w:lang w:val="tr-TR"/>
              </w:rPr>
              <w:t xml:space="preserve">Tablo </w:t>
            </w:r>
            <w:r w:rsidRPr="0056458D">
              <w:rPr>
                <w:rFonts w:ascii="Century" w:hAnsi="Century"/>
                <w:lang w:val="tr-TR"/>
              </w:rPr>
              <w:fldChar w:fldCharType="begin"/>
            </w:r>
            <w:r w:rsidRPr="0056458D">
              <w:rPr>
                <w:rFonts w:ascii="Century" w:hAnsi="Century"/>
                <w:lang w:val="tr-TR"/>
              </w:rPr>
              <w:instrText xml:space="preserve"> STYLEREF 2 \s </w:instrText>
            </w:r>
            <w:r w:rsidRPr="0056458D">
              <w:rPr>
                <w:rFonts w:ascii="Century" w:hAnsi="Century"/>
                <w:lang w:val="tr-TR"/>
              </w:rPr>
              <w:fldChar w:fldCharType="separate"/>
            </w:r>
            <w:r w:rsidR="00DA718E">
              <w:rPr>
                <w:rFonts w:ascii="Century" w:hAnsi="Century"/>
                <w:noProof/>
                <w:lang w:val="tr-TR"/>
              </w:rPr>
              <w:t>2.1</w:t>
            </w:r>
            <w:r w:rsidRPr="0056458D">
              <w:rPr>
                <w:rFonts w:ascii="Century" w:hAnsi="Century"/>
                <w:lang w:val="tr-TR"/>
              </w:rPr>
              <w:fldChar w:fldCharType="end"/>
            </w:r>
            <w:r w:rsidRPr="0056458D">
              <w:rPr>
                <w:rFonts w:ascii="Century" w:hAnsi="Century"/>
                <w:lang w:val="tr-TR"/>
              </w:rPr>
              <w:noBreakHyphen/>
            </w:r>
            <w:r w:rsidRPr="0056458D">
              <w:rPr>
                <w:rFonts w:ascii="Century" w:hAnsi="Century"/>
                <w:lang w:val="tr-TR"/>
              </w:rPr>
              <w:fldChar w:fldCharType="begin"/>
            </w:r>
            <w:r w:rsidRPr="0056458D">
              <w:rPr>
                <w:rFonts w:ascii="Century" w:hAnsi="Century"/>
                <w:lang w:val="tr-TR"/>
              </w:rPr>
              <w:instrText xml:space="preserve"> SEQ Tablo \* ARABIC \s 2 </w:instrText>
            </w:r>
            <w:r w:rsidRPr="0056458D">
              <w:rPr>
                <w:rFonts w:ascii="Century" w:hAnsi="Century"/>
                <w:lang w:val="tr-TR"/>
              </w:rPr>
              <w:fldChar w:fldCharType="separate"/>
            </w:r>
            <w:r w:rsidR="00DA718E">
              <w:rPr>
                <w:rFonts w:ascii="Century" w:hAnsi="Century"/>
                <w:noProof/>
                <w:lang w:val="tr-TR"/>
              </w:rPr>
              <w:t>5</w:t>
            </w:r>
            <w:r w:rsidRPr="0056458D">
              <w:rPr>
                <w:rFonts w:ascii="Century" w:hAnsi="Century"/>
                <w:lang w:val="tr-TR"/>
              </w:rPr>
              <w:fldChar w:fldCharType="end"/>
            </w:r>
            <w:r w:rsidRPr="0056458D">
              <w:rPr>
                <w:rFonts w:ascii="Century" w:hAnsi="Century"/>
                <w:lang w:val="tr-TR"/>
              </w:rPr>
              <w:t xml:space="preserve">; </w:t>
            </w:r>
            <w:r w:rsidRPr="0056458D">
              <w:rPr>
                <w:rFonts w:ascii="Century" w:hAnsi="Century"/>
                <w:bCs w:val="0"/>
                <w:lang w:val="tr-TR"/>
              </w:rPr>
              <w:t>Meydana Gelen Depremler ve Ödenen Tazm.-</w:t>
            </w:r>
            <w:r w:rsidRPr="0056458D">
              <w:rPr>
                <w:rFonts w:ascii="Century" w:hAnsi="Century"/>
                <w:b w:val="0"/>
                <w:i/>
                <w:iCs/>
                <w:lang w:val="tr-TR"/>
              </w:rPr>
              <w:t>Occured Earthquake and Paid Losses</w:t>
            </w:r>
            <w:bookmarkEnd w:id="126"/>
          </w:p>
          <w:p w:rsidR="00D86152" w:rsidRPr="00055418" w:rsidRDefault="00055418" w:rsidP="00A13177">
            <w:pPr>
              <w:jc w:val="center"/>
              <w:rPr>
                <w:rFonts w:ascii="Century" w:hAnsi="Century"/>
                <w:highlight w:val="yellow"/>
                <w:lang w:val="tr-TR"/>
              </w:rPr>
            </w:pPr>
            <w:r w:rsidRPr="00055418">
              <w:rPr>
                <w:rFonts w:ascii="Century" w:hAnsi="Century"/>
                <w:lang w:val="tr-TR"/>
              </w:rPr>
              <w:pict>
                <v:shape id="_x0000_i1084" type="#_x0000_t75" style="width:258.75pt;height:168.75pt">
                  <v:imagedata r:id="rId74" o:title=""/>
                </v:shape>
              </w:pict>
            </w:r>
          </w:p>
          <w:p w:rsidR="007C4124" w:rsidRPr="00367FA3" w:rsidRDefault="007C4124" w:rsidP="008D17FE">
            <w:pPr>
              <w:rPr>
                <w:rFonts w:ascii="Century" w:hAnsi="Century"/>
                <w:highlight w:val="yellow"/>
                <w:lang w:val="tr-TR"/>
              </w:rPr>
            </w:pPr>
          </w:p>
        </w:tc>
      </w:tr>
      <w:tr w:rsidR="00D86152" w:rsidRPr="00367FA3">
        <w:trPr>
          <w:trHeight w:val="2696"/>
        </w:trPr>
        <w:tc>
          <w:tcPr>
            <w:tcW w:w="4815" w:type="dxa"/>
            <w:gridSpan w:val="2"/>
          </w:tcPr>
          <w:p w:rsidR="006F5268" w:rsidRPr="00055418" w:rsidRDefault="001118AE" w:rsidP="008D17FE">
            <w:pPr>
              <w:jc w:val="both"/>
              <w:rPr>
                <w:rFonts w:ascii="Century" w:hAnsi="Century"/>
                <w:lang w:val="tr-TR"/>
              </w:rPr>
            </w:pPr>
            <w:r w:rsidRPr="00055418">
              <w:rPr>
                <w:rFonts w:ascii="Century" w:hAnsi="Century"/>
                <w:lang w:val="tr-TR"/>
              </w:rPr>
              <w:lastRenderedPageBreak/>
              <w:t xml:space="preserve">DASK tarafından </w:t>
            </w:r>
            <w:r w:rsidR="006F5268" w:rsidRPr="00055418">
              <w:rPr>
                <w:rFonts w:ascii="Century" w:hAnsi="Century"/>
                <w:lang w:val="tr-TR"/>
              </w:rPr>
              <w:t>kuruluşundan bu yana 1</w:t>
            </w:r>
            <w:r w:rsidR="00055418" w:rsidRPr="00055418">
              <w:rPr>
                <w:rFonts w:ascii="Century" w:hAnsi="Century"/>
                <w:lang w:val="tr-TR"/>
              </w:rPr>
              <w:t>8</w:t>
            </w:r>
            <w:r w:rsidR="006F5268" w:rsidRPr="00055418">
              <w:rPr>
                <w:rFonts w:ascii="Century" w:hAnsi="Century"/>
                <w:lang w:val="tr-TR"/>
              </w:rPr>
              <w:t>,7 milyon YTL tazminat öde</w:t>
            </w:r>
            <w:r w:rsidRPr="00055418">
              <w:rPr>
                <w:rFonts w:ascii="Century" w:hAnsi="Century"/>
                <w:lang w:val="tr-TR"/>
              </w:rPr>
              <w:t>n</w:t>
            </w:r>
            <w:r w:rsidR="006F5268" w:rsidRPr="00055418">
              <w:rPr>
                <w:rFonts w:ascii="Century" w:hAnsi="Century"/>
                <w:lang w:val="tr-TR"/>
              </w:rPr>
              <w:t>miştir. Bu tutarın 8 milyon YTL’lik kısmı 2005 yılında meydana gelen deprem</w:t>
            </w:r>
            <w:r w:rsidR="00823A36">
              <w:rPr>
                <w:rFonts w:ascii="Century" w:hAnsi="Century"/>
                <w:lang w:val="tr-TR"/>
              </w:rPr>
              <w:t>lere ilişkindir.</w:t>
            </w:r>
          </w:p>
          <w:p w:rsidR="006F5268" w:rsidRPr="00367FA3" w:rsidRDefault="006F5268" w:rsidP="008D17FE">
            <w:pPr>
              <w:jc w:val="both"/>
              <w:rPr>
                <w:rFonts w:ascii="Century" w:hAnsi="Century"/>
                <w:highlight w:val="yellow"/>
                <w:lang w:val="tr-TR"/>
              </w:rPr>
            </w:pPr>
          </w:p>
          <w:p w:rsidR="00A44CD7" w:rsidRPr="00367FA3" w:rsidRDefault="006F5268" w:rsidP="000447FE">
            <w:pPr>
              <w:jc w:val="both"/>
              <w:rPr>
                <w:rFonts w:ascii="Century" w:hAnsi="Century"/>
                <w:highlight w:val="yellow"/>
                <w:lang w:val="tr-TR"/>
              </w:rPr>
            </w:pPr>
            <w:r w:rsidRPr="0056458D">
              <w:rPr>
                <w:rFonts w:ascii="Century" w:hAnsi="Century"/>
                <w:lang w:val="tr-TR"/>
              </w:rPr>
              <w:t>200</w:t>
            </w:r>
            <w:r w:rsidR="0056458D" w:rsidRPr="0056458D">
              <w:rPr>
                <w:rFonts w:ascii="Century" w:hAnsi="Century"/>
                <w:lang w:val="tr-TR"/>
              </w:rPr>
              <w:t>7</w:t>
            </w:r>
            <w:r w:rsidRPr="0056458D">
              <w:rPr>
                <w:rFonts w:ascii="Century" w:hAnsi="Century"/>
                <w:lang w:val="tr-TR"/>
              </w:rPr>
              <w:t xml:space="preserve"> yılında meydana gelen depremlere ilişkin bilgiler ve ödenen tazminat tutarları ise</w:t>
            </w:r>
            <w:r w:rsidR="007D37EC">
              <w:rPr>
                <w:rFonts w:ascii="Century" w:hAnsi="Century"/>
                <w:lang w:val="tr-TR"/>
              </w:rPr>
              <w:t xml:space="preserve"> şöyledir.</w:t>
            </w: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A44CD7" w:rsidRPr="00A41A00" w:rsidRDefault="00A44CD7" w:rsidP="00A44CD7">
            <w:pPr>
              <w:jc w:val="both"/>
              <w:rPr>
                <w:rFonts w:ascii="Century" w:hAnsi="Century"/>
                <w:color w:val="404040"/>
              </w:rPr>
            </w:pPr>
            <w:r w:rsidRPr="00A41A00">
              <w:rPr>
                <w:rFonts w:ascii="Century" w:hAnsi="Century"/>
                <w:color w:val="404040"/>
              </w:rPr>
              <w:t>Since establishment, losses amount of YTL 1</w:t>
            </w:r>
            <w:r w:rsidR="00055418" w:rsidRPr="00A41A00">
              <w:rPr>
                <w:rFonts w:ascii="Century" w:hAnsi="Century"/>
                <w:color w:val="404040"/>
              </w:rPr>
              <w:t>8</w:t>
            </w:r>
            <w:r w:rsidRPr="00A41A00">
              <w:rPr>
                <w:rFonts w:ascii="Century" w:hAnsi="Century"/>
                <w:color w:val="404040"/>
              </w:rPr>
              <w:t>.7 million</w:t>
            </w:r>
            <w:r w:rsidR="00E24467" w:rsidRPr="00A41A00">
              <w:rPr>
                <w:rFonts w:ascii="Century" w:hAnsi="Century"/>
                <w:color w:val="404040"/>
              </w:rPr>
              <w:t xml:space="preserve"> has been</w:t>
            </w:r>
            <w:r w:rsidRPr="00A41A00">
              <w:rPr>
                <w:rFonts w:ascii="Century" w:hAnsi="Century"/>
                <w:color w:val="404040"/>
              </w:rPr>
              <w:t xml:space="preserve"> paid by TCIP. Amount of</w:t>
            </w:r>
            <w:r w:rsidR="00E24467" w:rsidRPr="00A41A00">
              <w:rPr>
                <w:rFonts w:ascii="Century" w:hAnsi="Century"/>
                <w:color w:val="404040"/>
              </w:rPr>
              <w:t xml:space="preserve"> YTL 8 million of all losses has been</w:t>
            </w:r>
            <w:r w:rsidRPr="00A41A00">
              <w:rPr>
                <w:rFonts w:ascii="Century" w:hAnsi="Century"/>
                <w:color w:val="404040"/>
              </w:rPr>
              <w:t xml:space="preserve"> paid for earthquakes occurred in year 2005.</w:t>
            </w:r>
          </w:p>
          <w:p w:rsidR="00D86152" w:rsidRPr="00A41A00" w:rsidRDefault="00D86152" w:rsidP="008D17FE">
            <w:pPr>
              <w:rPr>
                <w:rFonts w:ascii="Century" w:hAnsi="Century"/>
                <w:color w:val="404040"/>
                <w:highlight w:val="yellow"/>
                <w:lang w:val="tr-TR"/>
              </w:rPr>
            </w:pPr>
          </w:p>
          <w:p w:rsidR="00A44CD7" w:rsidRPr="00367FA3" w:rsidRDefault="00A44CD7" w:rsidP="000447FE">
            <w:pPr>
              <w:jc w:val="both"/>
              <w:rPr>
                <w:rFonts w:ascii="Century" w:hAnsi="Century"/>
                <w:color w:val="808080"/>
                <w:highlight w:val="yellow"/>
              </w:rPr>
            </w:pPr>
            <w:r w:rsidRPr="00A41A00">
              <w:rPr>
                <w:rFonts w:ascii="Century" w:hAnsi="Century"/>
                <w:color w:val="404040"/>
              </w:rPr>
              <w:t>Earthquakes occurred in year 200</w:t>
            </w:r>
            <w:r w:rsidR="0056458D" w:rsidRPr="00A41A00">
              <w:rPr>
                <w:rFonts w:ascii="Century" w:hAnsi="Century"/>
                <w:color w:val="404040"/>
              </w:rPr>
              <w:t>7</w:t>
            </w:r>
            <w:r w:rsidRPr="00A41A00">
              <w:rPr>
                <w:rFonts w:ascii="Century" w:hAnsi="Century"/>
                <w:color w:val="404040"/>
              </w:rPr>
              <w:t xml:space="preserve"> and respective paid losses are given in </w:t>
            </w:r>
            <w:r w:rsidR="00E24467" w:rsidRPr="00A41A00">
              <w:rPr>
                <w:rFonts w:ascii="Century" w:hAnsi="Century"/>
                <w:color w:val="404040"/>
              </w:rPr>
              <w:t xml:space="preserve">the </w:t>
            </w:r>
            <w:r w:rsidRPr="00A41A00">
              <w:rPr>
                <w:rFonts w:ascii="Century" w:hAnsi="Century"/>
                <w:color w:val="404040"/>
              </w:rPr>
              <w:t>table below.</w:t>
            </w:r>
          </w:p>
        </w:tc>
      </w:tr>
      <w:tr w:rsidR="00D86152" w:rsidRPr="00367FA3">
        <w:tc>
          <w:tcPr>
            <w:tcW w:w="9855" w:type="dxa"/>
            <w:gridSpan w:val="5"/>
          </w:tcPr>
          <w:p w:rsidR="006F5268" w:rsidRPr="00823A36" w:rsidRDefault="006F5268" w:rsidP="00A13177">
            <w:pPr>
              <w:pStyle w:val="ResimYazs"/>
              <w:jc w:val="center"/>
              <w:rPr>
                <w:rFonts w:ascii="Century" w:hAnsi="Century"/>
                <w:b w:val="0"/>
                <w:lang w:val="tr-TR"/>
              </w:rPr>
            </w:pPr>
            <w:bookmarkStart w:id="127" w:name="_Toc170665567"/>
            <w:r w:rsidRPr="00823A36">
              <w:rPr>
                <w:rFonts w:ascii="Century" w:hAnsi="Century"/>
                <w:lang w:val="tr-TR"/>
              </w:rPr>
              <w:t xml:space="preserve">Tablo </w:t>
            </w:r>
            <w:r w:rsidRPr="00823A36">
              <w:rPr>
                <w:rFonts w:ascii="Century" w:hAnsi="Century"/>
                <w:lang w:val="tr-TR"/>
              </w:rPr>
              <w:fldChar w:fldCharType="begin"/>
            </w:r>
            <w:r w:rsidRPr="00823A36">
              <w:rPr>
                <w:rFonts w:ascii="Century" w:hAnsi="Century"/>
                <w:lang w:val="tr-TR"/>
              </w:rPr>
              <w:instrText xml:space="preserve"> STYLEREF 2 \s </w:instrText>
            </w:r>
            <w:r w:rsidRPr="00823A36">
              <w:rPr>
                <w:rFonts w:ascii="Century" w:hAnsi="Century"/>
                <w:lang w:val="tr-TR"/>
              </w:rPr>
              <w:fldChar w:fldCharType="separate"/>
            </w:r>
            <w:r w:rsidR="00DA718E">
              <w:rPr>
                <w:rFonts w:ascii="Century" w:hAnsi="Century"/>
                <w:noProof/>
                <w:lang w:val="tr-TR"/>
              </w:rPr>
              <w:t>2.1</w:t>
            </w:r>
            <w:r w:rsidRPr="00823A36">
              <w:rPr>
                <w:rFonts w:ascii="Century" w:hAnsi="Century"/>
                <w:lang w:val="tr-TR"/>
              </w:rPr>
              <w:fldChar w:fldCharType="end"/>
            </w:r>
            <w:r w:rsidRPr="00823A36">
              <w:rPr>
                <w:rFonts w:ascii="Century" w:hAnsi="Century"/>
                <w:lang w:val="tr-TR"/>
              </w:rPr>
              <w:noBreakHyphen/>
            </w:r>
            <w:r w:rsidRPr="00823A36">
              <w:rPr>
                <w:rFonts w:ascii="Century" w:hAnsi="Century"/>
                <w:lang w:val="tr-TR"/>
              </w:rPr>
              <w:fldChar w:fldCharType="begin"/>
            </w:r>
            <w:r w:rsidRPr="00823A36">
              <w:rPr>
                <w:rFonts w:ascii="Century" w:hAnsi="Century"/>
                <w:lang w:val="tr-TR"/>
              </w:rPr>
              <w:instrText xml:space="preserve"> SEQ Tablo \* ARABIC \s 2 </w:instrText>
            </w:r>
            <w:r w:rsidRPr="00823A36">
              <w:rPr>
                <w:rFonts w:ascii="Century" w:hAnsi="Century"/>
                <w:lang w:val="tr-TR"/>
              </w:rPr>
              <w:fldChar w:fldCharType="separate"/>
            </w:r>
            <w:r w:rsidR="00DA718E">
              <w:rPr>
                <w:rFonts w:ascii="Century" w:hAnsi="Century"/>
                <w:noProof/>
                <w:lang w:val="tr-TR"/>
              </w:rPr>
              <w:t>6</w:t>
            </w:r>
            <w:r w:rsidRPr="00823A36">
              <w:rPr>
                <w:rFonts w:ascii="Century" w:hAnsi="Century"/>
                <w:lang w:val="tr-TR"/>
              </w:rPr>
              <w:fldChar w:fldCharType="end"/>
            </w:r>
            <w:r w:rsidRPr="00823A36">
              <w:rPr>
                <w:rFonts w:ascii="Century" w:hAnsi="Century"/>
                <w:lang w:val="tr-TR"/>
              </w:rPr>
              <w:t xml:space="preserve">; </w:t>
            </w:r>
            <w:r w:rsidR="0056458D" w:rsidRPr="00823A36">
              <w:rPr>
                <w:rFonts w:ascii="Century" w:hAnsi="Century"/>
                <w:bCs w:val="0"/>
                <w:lang w:val="tr-TR"/>
              </w:rPr>
              <w:t>2007</w:t>
            </w:r>
            <w:r w:rsidRPr="00823A36">
              <w:rPr>
                <w:rFonts w:ascii="Century" w:hAnsi="Century"/>
                <w:bCs w:val="0"/>
                <w:lang w:val="tr-TR"/>
              </w:rPr>
              <w:t xml:space="preserve"> Yılı Depremlerine İlişkin Ödenen Tazm.-</w:t>
            </w:r>
            <w:r w:rsidR="00752D5D" w:rsidRPr="00823A36">
              <w:rPr>
                <w:rFonts w:ascii="Century" w:hAnsi="Century"/>
                <w:b w:val="0"/>
                <w:i/>
                <w:iCs/>
                <w:lang w:val="tr-TR"/>
              </w:rPr>
              <w:t>The Paid Losses by t</w:t>
            </w:r>
            <w:r w:rsidRPr="00823A36">
              <w:rPr>
                <w:rFonts w:ascii="Century" w:hAnsi="Century"/>
                <w:b w:val="0"/>
                <w:i/>
                <w:iCs/>
                <w:lang w:val="tr-TR"/>
              </w:rPr>
              <w:t>he TCIP</w:t>
            </w:r>
            <w:bookmarkEnd w:id="127"/>
          </w:p>
          <w:p w:rsidR="003000B1" w:rsidRPr="00823A36" w:rsidRDefault="00823A36" w:rsidP="00A13177">
            <w:pPr>
              <w:jc w:val="center"/>
              <w:rPr>
                <w:rFonts w:ascii="Century" w:hAnsi="Century"/>
                <w:lang w:val="tr-TR"/>
              </w:rPr>
            </w:pPr>
            <w:r w:rsidRPr="00823A36">
              <w:rPr>
                <w:rFonts w:ascii="Century" w:hAnsi="Century"/>
                <w:lang w:val="tr-TR"/>
              </w:rPr>
              <w:pict>
                <v:shape id="_x0000_i1085" type="#_x0000_t75" style="width:411.75pt;height:337.5pt">
                  <v:imagedata r:id="rId75" o:title=""/>
                </v:shape>
              </w:pict>
            </w:r>
          </w:p>
        </w:tc>
      </w:tr>
      <w:tr w:rsidR="00D86152" w:rsidRPr="00367FA3">
        <w:tc>
          <w:tcPr>
            <w:tcW w:w="4815" w:type="dxa"/>
            <w:gridSpan w:val="2"/>
          </w:tcPr>
          <w:p w:rsidR="005A43F8" w:rsidRPr="00594FE1" w:rsidRDefault="005A43F8" w:rsidP="008D17FE">
            <w:pPr>
              <w:pStyle w:val="NormalWeb"/>
              <w:ind w:left="567" w:hanging="567"/>
              <w:jc w:val="both"/>
              <w:rPr>
                <w:rFonts w:ascii="Century" w:hAnsi="Century"/>
                <w:b/>
              </w:rPr>
            </w:pPr>
          </w:p>
          <w:p w:rsidR="00ED493E" w:rsidRPr="00594FE1" w:rsidRDefault="00A62644" w:rsidP="00330245">
            <w:pPr>
              <w:pStyle w:val="Balk2"/>
              <w:keepNext w:val="0"/>
              <w:numPr>
                <w:ilvl w:val="0"/>
                <w:numId w:val="0"/>
              </w:numPr>
              <w:tabs>
                <w:tab w:val="left" w:pos="522"/>
              </w:tabs>
              <w:spacing w:before="0" w:after="0"/>
              <w:ind w:left="680" w:hanging="680"/>
              <w:rPr>
                <w:rFonts w:ascii="Century" w:hAnsi="Century"/>
                <w:i w:val="0"/>
                <w:sz w:val="24"/>
                <w:szCs w:val="24"/>
                <w:lang w:val="tr-TR"/>
              </w:rPr>
            </w:pPr>
            <w:bookmarkStart w:id="128" w:name="_Toc198287713"/>
            <w:bookmarkStart w:id="129" w:name="_Toc199251260"/>
            <w:r w:rsidRPr="00594FE1">
              <w:rPr>
                <w:rFonts w:ascii="Century" w:hAnsi="Century"/>
                <w:i w:val="0"/>
                <w:sz w:val="24"/>
                <w:szCs w:val="24"/>
                <w:lang w:val="tr-TR"/>
              </w:rPr>
              <w:t>2</w:t>
            </w:r>
            <w:r w:rsidR="00ED493E" w:rsidRPr="00594FE1">
              <w:rPr>
                <w:rFonts w:ascii="Century" w:hAnsi="Century"/>
                <w:i w:val="0"/>
                <w:sz w:val="24"/>
                <w:szCs w:val="24"/>
                <w:lang w:val="tr-TR"/>
              </w:rPr>
              <w:t>.2. Emeklilik Gözetim Merkezi A</w:t>
            </w:r>
            <w:r w:rsidR="00A55CF3" w:rsidRPr="00594FE1">
              <w:rPr>
                <w:rFonts w:ascii="Century" w:hAnsi="Century"/>
                <w:i w:val="0"/>
                <w:sz w:val="24"/>
                <w:szCs w:val="24"/>
                <w:lang w:val="tr-TR"/>
              </w:rPr>
              <w:t>Ş</w:t>
            </w:r>
            <w:r w:rsidR="00ED493E" w:rsidRPr="00594FE1">
              <w:rPr>
                <w:rFonts w:ascii="Century" w:hAnsi="Century"/>
                <w:i w:val="0"/>
                <w:sz w:val="24"/>
                <w:szCs w:val="24"/>
                <w:lang w:val="tr-TR"/>
              </w:rPr>
              <w:t xml:space="preserve"> (EGM)</w:t>
            </w:r>
            <w:bookmarkEnd w:id="128"/>
            <w:bookmarkEnd w:id="129"/>
          </w:p>
          <w:p w:rsidR="005A43F8" w:rsidRPr="00367FA3" w:rsidRDefault="005A43F8" w:rsidP="005A43F8">
            <w:pPr>
              <w:pStyle w:val="NormalWeb"/>
              <w:spacing w:before="0" w:beforeAutospacing="0" w:after="0" w:afterAutospacing="0"/>
              <w:jc w:val="both"/>
              <w:rPr>
                <w:rFonts w:ascii="Century" w:hAnsi="Century"/>
                <w:highlight w:val="yellow"/>
              </w:rPr>
            </w:pPr>
          </w:p>
          <w:p w:rsidR="003F1860" w:rsidRPr="005C1730" w:rsidRDefault="003F1860" w:rsidP="005A43F8">
            <w:pPr>
              <w:pStyle w:val="NormalWeb"/>
              <w:spacing w:before="0" w:beforeAutospacing="0" w:after="0" w:afterAutospacing="0"/>
              <w:jc w:val="both"/>
              <w:rPr>
                <w:rFonts w:ascii="Century" w:hAnsi="Century"/>
              </w:rPr>
            </w:pPr>
            <w:r w:rsidRPr="005C1730">
              <w:rPr>
                <w:rFonts w:ascii="Century" w:hAnsi="Century"/>
              </w:rPr>
              <w:t>Bireysel Emeklilik Tasarruf ve Yatırım Sistemi Kanunu ve ilgili mevzuat uyarınca; Hazine Müste</w:t>
            </w:r>
            <w:r w:rsidR="004F54F9" w:rsidRPr="005C1730">
              <w:rPr>
                <w:rFonts w:ascii="Century" w:hAnsi="Century"/>
              </w:rPr>
              <w:t>ş</w:t>
            </w:r>
            <w:r w:rsidRPr="005C1730">
              <w:rPr>
                <w:rFonts w:ascii="Century" w:hAnsi="Century"/>
              </w:rPr>
              <w:t xml:space="preserve">arlığı tarafından, elektronik ortamda günlük gözetim ve denetime esas bilgilerin oluşturulması ve bireysel emeklilik aracıları sınavı gibi konularda görev yapmak üzere, bireysel emeklilik alanında faaliyet gösterme izni alan 11 </w:t>
            </w:r>
            <w:r w:rsidR="001118AE" w:rsidRPr="005C1730">
              <w:rPr>
                <w:rFonts w:ascii="Century" w:hAnsi="Century"/>
              </w:rPr>
              <w:lastRenderedPageBreak/>
              <w:t>ş</w:t>
            </w:r>
            <w:r w:rsidRPr="005C1730">
              <w:rPr>
                <w:rFonts w:ascii="Century" w:hAnsi="Century"/>
              </w:rPr>
              <w:t>irket ortaklığında 2.475.225 YTL sermaye ile 10 Temmuz 2003 tarihinde merkezi İstanbul'da o</w:t>
            </w:r>
            <w:r w:rsidR="00A55CF3" w:rsidRPr="005C1730">
              <w:rPr>
                <w:rFonts w:ascii="Century" w:hAnsi="Century"/>
              </w:rPr>
              <w:t>lan Emeklilik Gözetim Merkezi AŞ</w:t>
            </w:r>
            <w:r w:rsidRPr="005C1730">
              <w:rPr>
                <w:rFonts w:ascii="Century" w:hAnsi="Century"/>
              </w:rPr>
              <w:t xml:space="preserve"> kurulmuştur.</w:t>
            </w:r>
          </w:p>
          <w:p w:rsidR="005A43F8" w:rsidRPr="00367FA3" w:rsidRDefault="005A43F8" w:rsidP="005A43F8">
            <w:pPr>
              <w:pStyle w:val="NormalWeb"/>
              <w:spacing w:before="0" w:beforeAutospacing="0" w:after="0" w:afterAutospacing="0"/>
              <w:jc w:val="both"/>
              <w:rPr>
                <w:rFonts w:ascii="Century" w:hAnsi="Century"/>
                <w:highlight w:val="yellow"/>
              </w:rPr>
            </w:pPr>
          </w:p>
          <w:p w:rsidR="003F1860" w:rsidRPr="005C1730" w:rsidRDefault="003F1860" w:rsidP="005A43F8">
            <w:pPr>
              <w:pStyle w:val="NormalWeb"/>
              <w:spacing w:before="0" w:beforeAutospacing="0" w:after="0" w:afterAutospacing="0"/>
              <w:jc w:val="both"/>
              <w:rPr>
                <w:rFonts w:ascii="Century" w:hAnsi="Century"/>
              </w:rPr>
            </w:pPr>
            <w:r w:rsidRPr="005C1730">
              <w:rPr>
                <w:rFonts w:ascii="Century" w:hAnsi="Century"/>
              </w:rPr>
              <w:t>Emeklilik Gözetim Merkezi;</w:t>
            </w:r>
          </w:p>
          <w:p w:rsidR="00457FB8" w:rsidRPr="00367FA3" w:rsidRDefault="00457FB8" w:rsidP="005A43F8">
            <w:pPr>
              <w:pStyle w:val="NormalWeb"/>
              <w:spacing w:before="0" w:beforeAutospacing="0" w:after="0" w:afterAutospacing="0"/>
              <w:jc w:val="both"/>
              <w:rPr>
                <w:rFonts w:ascii="Century" w:hAnsi="Century"/>
                <w:highlight w:val="yellow"/>
              </w:rPr>
            </w:pPr>
          </w:p>
          <w:p w:rsidR="003F1860" w:rsidRPr="005C1730" w:rsidRDefault="003F1860" w:rsidP="00C26189">
            <w:pPr>
              <w:pStyle w:val="NormalWeb"/>
              <w:numPr>
                <w:ilvl w:val="0"/>
                <w:numId w:val="2"/>
              </w:numPr>
              <w:spacing w:before="0" w:beforeAutospacing="0" w:after="0" w:afterAutospacing="0"/>
              <w:jc w:val="both"/>
              <w:rPr>
                <w:rFonts w:ascii="Century" w:hAnsi="Century"/>
              </w:rPr>
            </w:pPr>
            <w:r w:rsidRPr="005C1730">
              <w:rPr>
                <w:rFonts w:ascii="Century" w:hAnsi="Century"/>
              </w:rPr>
              <w:t>Emeklilik şirketlerinin faaliyetle</w:t>
            </w:r>
            <w:r w:rsidR="00457FB8" w:rsidRPr="005C1730">
              <w:rPr>
                <w:rFonts w:ascii="Century" w:hAnsi="Century"/>
              </w:rPr>
              <w:t>-</w:t>
            </w:r>
            <w:r w:rsidRPr="005C1730">
              <w:rPr>
                <w:rFonts w:ascii="Century" w:hAnsi="Century"/>
              </w:rPr>
              <w:t>rinin günlük olarak elektronik ortamda gözetimi ve kamu otoritelerine raporlanması</w:t>
            </w:r>
          </w:p>
          <w:p w:rsidR="003F1860" w:rsidRPr="005C173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Emeklilik şirketlerinin işlemleri sonucunda oluşan bilgilerin konsolidasyonu</w:t>
            </w:r>
          </w:p>
          <w:p w:rsidR="003F1860" w:rsidRPr="005C173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Katılımcılara ait bilgilerin gizliliğinin korunarak saklanması</w:t>
            </w:r>
          </w:p>
          <w:p w:rsidR="003F1860" w:rsidRPr="005C173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Kamuoyunun ve katılımcıların bilgilendirilmesi</w:t>
            </w:r>
          </w:p>
          <w:p w:rsidR="003F1860" w:rsidRPr="005C173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Bireysel emeklilik aracıları sınavının yapılması ve bireysel emeklilik aracıları sicilinin takibi</w:t>
            </w:r>
          </w:p>
          <w:p w:rsidR="003F1860" w:rsidRPr="005C173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Emeklilik şirketlerinin ortak tanıtım, eğitim programları, yazılım ve benzeri konulardaki taleplerinin karşılanması</w:t>
            </w:r>
          </w:p>
          <w:p w:rsidR="003F1860" w:rsidRPr="005C1730" w:rsidRDefault="003F1860" w:rsidP="00D15063">
            <w:pPr>
              <w:pStyle w:val="NormalWeb"/>
              <w:numPr>
                <w:ilvl w:val="0"/>
                <w:numId w:val="2"/>
              </w:numPr>
              <w:spacing w:before="0" w:beforeAutospacing="0" w:after="0" w:afterAutospacing="0"/>
              <w:ind w:left="714" w:hanging="357"/>
              <w:jc w:val="both"/>
              <w:rPr>
                <w:rFonts w:ascii="Century" w:hAnsi="Century"/>
              </w:rPr>
            </w:pPr>
            <w:r w:rsidRPr="005C1730">
              <w:rPr>
                <w:rFonts w:ascii="Century" w:hAnsi="Century"/>
              </w:rPr>
              <w:t>Sistemin güven içinde işleyişi ile olası sorunlara zamanında gerekli müdahalelerde bulunulmasına olanak sağlayacak veri oluşturulması</w:t>
            </w:r>
          </w:p>
          <w:p w:rsidR="005A43F8" w:rsidRPr="005C1730" w:rsidRDefault="005A43F8" w:rsidP="005A43F8">
            <w:pPr>
              <w:pStyle w:val="NormalWeb"/>
              <w:spacing w:before="0" w:beforeAutospacing="0" w:after="0" w:afterAutospacing="0"/>
              <w:jc w:val="both"/>
              <w:rPr>
                <w:rFonts w:ascii="Century" w:hAnsi="Century"/>
              </w:rPr>
            </w:pPr>
          </w:p>
          <w:p w:rsidR="003F1860" w:rsidRPr="005C1730" w:rsidRDefault="003F1860" w:rsidP="005A43F8">
            <w:pPr>
              <w:pStyle w:val="NormalWeb"/>
              <w:spacing w:before="0" w:beforeAutospacing="0" w:after="0" w:afterAutospacing="0"/>
              <w:jc w:val="both"/>
              <w:rPr>
                <w:rFonts w:ascii="Century" w:hAnsi="Century"/>
              </w:rPr>
            </w:pPr>
            <w:r w:rsidRPr="005C1730">
              <w:rPr>
                <w:rFonts w:ascii="Century" w:hAnsi="Century"/>
              </w:rPr>
              <w:t>ile görevlendirilmiştir.</w:t>
            </w:r>
          </w:p>
          <w:p w:rsidR="00332CCA" w:rsidRPr="00367FA3" w:rsidRDefault="00332CCA" w:rsidP="005A43F8">
            <w:pPr>
              <w:jc w:val="both"/>
              <w:rPr>
                <w:rFonts w:ascii="Century" w:hAnsi="Century"/>
                <w:highlight w:val="yellow"/>
                <w:lang w:val="tr-TR"/>
              </w:rPr>
            </w:pPr>
          </w:p>
          <w:p w:rsidR="003F1860" w:rsidRPr="005C1730" w:rsidRDefault="00A55CF3" w:rsidP="005A43F8">
            <w:pPr>
              <w:jc w:val="both"/>
              <w:rPr>
                <w:rFonts w:ascii="Century" w:hAnsi="Century"/>
                <w:lang w:val="tr-TR"/>
              </w:rPr>
            </w:pPr>
            <w:r w:rsidRPr="005C1730">
              <w:rPr>
                <w:rFonts w:ascii="Century" w:hAnsi="Century"/>
                <w:lang w:val="tr-TR"/>
              </w:rPr>
              <w:t>EGM A</w:t>
            </w:r>
            <w:r w:rsidR="005C1730" w:rsidRPr="005C1730">
              <w:rPr>
                <w:rFonts w:ascii="Century" w:hAnsi="Century"/>
                <w:lang w:val="tr-TR"/>
              </w:rPr>
              <w:t>Ş’den alınan 01.01.2007 - 31.12.2007</w:t>
            </w:r>
            <w:r w:rsidR="003F1860" w:rsidRPr="005C1730">
              <w:rPr>
                <w:rFonts w:ascii="Century" w:hAnsi="Century"/>
                <w:lang w:val="tr-TR"/>
              </w:rPr>
              <w:t xml:space="preserve"> dönemini kapsayan veriler </w:t>
            </w:r>
            <w:r w:rsidR="003F1860" w:rsidRPr="0003798C">
              <w:rPr>
                <w:rFonts w:ascii="Century" w:hAnsi="Century"/>
                <w:lang w:val="tr-TR"/>
              </w:rPr>
              <w:t>aşağıda, şirket bazında ayrıntıları ise Tablo 5</w:t>
            </w:r>
            <w:r w:rsidR="002D03B6">
              <w:rPr>
                <w:rFonts w:ascii="Century" w:hAnsi="Century"/>
                <w:lang w:val="tr-TR"/>
              </w:rPr>
              <w:t>0</w:t>
            </w:r>
            <w:r w:rsidR="003F1860" w:rsidRPr="0003798C">
              <w:rPr>
                <w:rFonts w:ascii="Century" w:hAnsi="Century"/>
                <w:lang w:val="tr-TR"/>
              </w:rPr>
              <w:t>’de yer almaktadır. Sözleşme</w:t>
            </w:r>
            <w:r w:rsidR="003F1860" w:rsidRPr="005C1730">
              <w:rPr>
                <w:rFonts w:ascii="Century" w:hAnsi="Century"/>
                <w:lang w:val="tr-TR"/>
              </w:rPr>
              <w:t xml:space="preserve"> adetleri ve bu sözleşmelere ilişkin katkı payı tutarları fonlama aşamasına gelmemiş sözleşmeleri içermemektedir. </w:t>
            </w:r>
          </w:p>
          <w:p w:rsidR="008C2C5A" w:rsidRPr="005C1730" w:rsidRDefault="008C2C5A" w:rsidP="005A43F8">
            <w:pPr>
              <w:jc w:val="both"/>
              <w:rPr>
                <w:rFonts w:ascii="Century" w:hAnsi="Century"/>
                <w:lang w:val="tr-TR"/>
              </w:rPr>
            </w:pPr>
          </w:p>
          <w:p w:rsidR="003F1860" w:rsidRPr="00367FA3" w:rsidRDefault="003F1860" w:rsidP="005A43F8">
            <w:pPr>
              <w:jc w:val="both"/>
              <w:rPr>
                <w:rFonts w:ascii="Century" w:hAnsi="Century"/>
                <w:highlight w:val="yellow"/>
                <w:lang w:val="tr-TR"/>
              </w:rPr>
            </w:pPr>
          </w:p>
          <w:p w:rsidR="003F1860" w:rsidRPr="00F837CD" w:rsidRDefault="003F1860" w:rsidP="005A43F8">
            <w:pPr>
              <w:jc w:val="both"/>
              <w:rPr>
                <w:rFonts w:ascii="Century" w:hAnsi="Century"/>
                <w:lang w:val="tr-TR"/>
              </w:rPr>
            </w:pPr>
            <w:r w:rsidRPr="00F837CD">
              <w:rPr>
                <w:rFonts w:ascii="Century" w:hAnsi="Century"/>
                <w:lang w:val="tr-TR"/>
              </w:rPr>
              <w:t>Dağıtım kanalına göre sözleşme adetleri ve katkı payı tutarları incelendiğinde bireysel direkt satışların ağırlıkta olduğu görülmektedir.</w:t>
            </w:r>
          </w:p>
          <w:p w:rsidR="0008236F" w:rsidRPr="00367FA3" w:rsidRDefault="0008236F" w:rsidP="008D17FE">
            <w:pPr>
              <w:rPr>
                <w:rFonts w:ascii="Century" w:hAnsi="Century"/>
                <w:highlight w:val="yellow"/>
                <w:lang w:val="tr-TR"/>
              </w:rPr>
            </w:pPr>
          </w:p>
          <w:p w:rsidR="005A43F8" w:rsidRPr="00367FA3" w:rsidRDefault="005A43F8"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highlight w:val="yellow"/>
                <w:lang w:val="tr-TR"/>
              </w:rPr>
            </w:pPr>
          </w:p>
          <w:p w:rsidR="00A62644" w:rsidRPr="00367FA3" w:rsidRDefault="00A62644" w:rsidP="00A62644">
            <w:pPr>
              <w:rPr>
                <w:highlight w:val="yellow"/>
                <w:lang w:val="tr-TR"/>
              </w:rPr>
            </w:pPr>
            <w:bookmarkStart w:id="130" w:name="_Toc170253098"/>
            <w:bookmarkStart w:id="131" w:name="_Toc170569807"/>
          </w:p>
          <w:p w:rsidR="00A44CD7" w:rsidRPr="00A41A00" w:rsidRDefault="00A62644" w:rsidP="00A62644">
            <w:pPr>
              <w:rPr>
                <w:rFonts w:ascii="Century" w:hAnsi="Century"/>
                <w:b/>
                <w:color w:val="404040"/>
                <w:lang w:val="tr-TR"/>
              </w:rPr>
            </w:pPr>
            <w:r w:rsidRPr="00A41A00">
              <w:rPr>
                <w:rFonts w:ascii="Century" w:hAnsi="Century"/>
                <w:b/>
                <w:color w:val="404040"/>
                <w:lang w:val="tr-TR"/>
              </w:rPr>
              <w:t xml:space="preserve">2.2. </w:t>
            </w:r>
            <w:r w:rsidR="00A44CD7" w:rsidRPr="00A41A00">
              <w:rPr>
                <w:rFonts w:ascii="Century" w:hAnsi="Century"/>
                <w:b/>
                <w:color w:val="404040"/>
                <w:lang w:val="tr-TR"/>
              </w:rPr>
              <w:t>Pension Monitoring Center (EGM)</w:t>
            </w:r>
            <w:bookmarkEnd w:id="130"/>
            <w:bookmarkEnd w:id="131"/>
          </w:p>
          <w:p w:rsidR="00A44CD7" w:rsidRPr="00A41A00" w:rsidRDefault="00A44CD7" w:rsidP="008D17FE">
            <w:pPr>
              <w:rPr>
                <w:rFonts w:ascii="Century" w:hAnsi="Century"/>
                <w:color w:val="404040"/>
                <w:highlight w:val="yellow"/>
                <w:lang w:val="tr-TR"/>
              </w:rPr>
            </w:pPr>
          </w:p>
          <w:p w:rsidR="00A44CD7" w:rsidRPr="00A41A00" w:rsidRDefault="00A44CD7" w:rsidP="002168BE">
            <w:pPr>
              <w:pStyle w:val="NormalWeb"/>
              <w:jc w:val="both"/>
              <w:rPr>
                <w:rFonts w:ascii="Century" w:hAnsi="Century"/>
                <w:color w:val="404040"/>
                <w:lang w:val="en-GB"/>
              </w:rPr>
            </w:pPr>
            <w:r w:rsidRPr="00A41A00">
              <w:rPr>
                <w:rFonts w:ascii="Century" w:hAnsi="Century"/>
                <w:color w:val="404040"/>
                <w:lang w:val="en-GB"/>
              </w:rPr>
              <w:t xml:space="preserve">According to Individual Pension Savings and Investment Law and related legislation, especially to achieve data for daily monitoring and supervision and to install private pension agent examinations, </w:t>
            </w:r>
            <w:smartTag w:uri="urn:schemas-microsoft-com:office:smarttags" w:element="place">
              <w:smartTag w:uri="urn:schemas-microsoft-com:office:smarttags" w:element="PlaceName">
                <w:r w:rsidRPr="00A41A00">
                  <w:rPr>
                    <w:rFonts w:ascii="Century" w:hAnsi="Century"/>
                    <w:color w:val="404040"/>
                    <w:lang w:val="en-GB"/>
                  </w:rPr>
                  <w:t>Pension</w:t>
                </w:r>
              </w:smartTag>
              <w:r w:rsidRPr="00A41A00">
                <w:rPr>
                  <w:rFonts w:ascii="Century" w:hAnsi="Century"/>
                  <w:color w:val="404040"/>
                  <w:lang w:val="en-GB"/>
                </w:rPr>
                <w:t xml:space="preserve"> </w:t>
              </w:r>
              <w:smartTag w:uri="urn:schemas-microsoft-com:office:smarttags" w:element="PlaceName">
                <w:r w:rsidRPr="00A41A00">
                  <w:rPr>
                    <w:rFonts w:ascii="Century" w:hAnsi="Century"/>
                    <w:color w:val="404040"/>
                    <w:lang w:val="en-GB"/>
                  </w:rPr>
                  <w:t>Monitoring</w:t>
                </w:r>
              </w:smartTag>
              <w:r w:rsidRPr="00A41A00">
                <w:rPr>
                  <w:rFonts w:ascii="Century" w:hAnsi="Century"/>
                  <w:color w:val="404040"/>
                  <w:lang w:val="en-GB"/>
                </w:rPr>
                <w:t xml:space="preserve"> </w:t>
              </w:r>
              <w:smartTag w:uri="urn:schemas-microsoft-com:office:smarttags" w:element="PlaceType">
                <w:r w:rsidRPr="00A41A00">
                  <w:rPr>
                    <w:rFonts w:ascii="Century" w:hAnsi="Century"/>
                    <w:color w:val="404040"/>
                    <w:lang w:val="en-GB"/>
                  </w:rPr>
                  <w:t>Center</w:t>
                </w:r>
              </w:smartTag>
            </w:smartTag>
            <w:r w:rsidRPr="00A41A00">
              <w:rPr>
                <w:rFonts w:ascii="Century" w:hAnsi="Century"/>
                <w:color w:val="404040"/>
                <w:lang w:val="en-GB"/>
              </w:rPr>
              <w:t xml:space="preserve"> is established by Turkish Treasury with the partnerships of 11 companies which are allowed to operate </w:t>
            </w:r>
            <w:r w:rsidRPr="00A41A00">
              <w:rPr>
                <w:rFonts w:ascii="Century" w:hAnsi="Century"/>
                <w:color w:val="404040"/>
                <w:lang w:val="en-GB"/>
              </w:rPr>
              <w:lastRenderedPageBreak/>
              <w:t xml:space="preserve">in private pension system on </w:t>
            </w:r>
            <w:smartTag w:uri="urn:schemas-microsoft-com:office:smarttags" w:element="date">
              <w:smartTagPr>
                <w:attr w:name="Year" w:val="2003"/>
                <w:attr w:name="Day" w:val="10"/>
                <w:attr w:name="Month" w:val="7"/>
              </w:smartTagPr>
              <w:r w:rsidRPr="00A41A00">
                <w:rPr>
                  <w:rFonts w:ascii="Century" w:hAnsi="Century"/>
                  <w:color w:val="404040"/>
                  <w:lang w:val="en-GB"/>
                </w:rPr>
                <w:t xml:space="preserve">July </w:t>
              </w:r>
              <w:r w:rsidR="00AB220A" w:rsidRPr="00A41A00">
                <w:rPr>
                  <w:rFonts w:ascii="Century" w:hAnsi="Century"/>
                  <w:color w:val="404040"/>
                  <w:lang w:val="en-GB"/>
                </w:rPr>
                <w:t xml:space="preserve">10, </w:t>
              </w:r>
              <w:r w:rsidRPr="00A41A00">
                <w:rPr>
                  <w:rFonts w:ascii="Century" w:hAnsi="Century"/>
                  <w:color w:val="404040"/>
                  <w:lang w:val="en-GB"/>
                </w:rPr>
                <w:t>2003</w:t>
              </w:r>
            </w:smartTag>
            <w:r w:rsidRPr="00A41A00">
              <w:rPr>
                <w:rFonts w:ascii="Century" w:hAnsi="Century"/>
                <w:color w:val="404040"/>
                <w:lang w:val="en-GB"/>
              </w:rPr>
              <w:t xml:space="preserve">. </w:t>
            </w:r>
            <w:smartTag w:uri="urn:schemas-microsoft-com:office:smarttags" w:element="PlaceName">
              <w:r w:rsidRPr="00A41A00">
                <w:rPr>
                  <w:rFonts w:ascii="Century" w:hAnsi="Century"/>
                  <w:color w:val="404040"/>
                  <w:lang w:val="en-GB"/>
                </w:rPr>
                <w:t>Pension</w:t>
              </w:r>
            </w:smartTag>
            <w:r w:rsidRPr="00A41A00">
              <w:rPr>
                <w:rFonts w:ascii="Century" w:hAnsi="Century"/>
                <w:color w:val="404040"/>
                <w:lang w:val="en-GB"/>
              </w:rPr>
              <w:t xml:space="preserve"> </w:t>
            </w:r>
            <w:smartTag w:uri="urn:schemas-microsoft-com:office:smarttags" w:element="PlaceName">
              <w:r w:rsidRPr="00A41A00">
                <w:rPr>
                  <w:rFonts w:ascii="Century" w:hAnsi="Century"/>
                  <w:color w:val="404040"/>
                  <w:lang w:val="en-GB"/>
                </w:rPr>
                <w:t>Monitoring</w:t>
              </w:r>
            </w:smartTag>
            <w:r w:rsidRPr="00A41A00">
              <w:rPr>
                <w:rFonts w:ascii="Century" w:hAnsi="Century"/>
                <w:color w:val="404040"/>
                <w:lang w:val="en-GB"/>
              </w:rPr>
              <w:t xml:space="preserve"> </w:t>
            </w:r>
            <w:smartTag w:uri="urn:schemas-microsoft-com:office:smarttags" w:element="PlaceType">
              <w:r w:rsidRPr="00A41A00">
                <w:rPr>
                  <w:rFonts w:ascii="Century" w:hAnsi="Century"/>
                  <w:color w:val="404040"/>
                  <w:lang w:val="en-GB"/>
                </w:rPr>
                <w:t>Cent</w:t>
              </w:r>
              <w:r w:rsidR="001118AE" w:rsidRPr="00A41A00">
                <w:rPr>
                  <w:rFonts w:ascii="Century" w:hAnsi="Century"/>
                  <w:color w:val="404040"/>
                  <w:lang w:val="en-GB"/>
                </w:rPr>
                <w:t>er</w:t>
              </w:r>
            </w:smartTag>
            <w:r w:rsidRPr="00A41A00">
              <w:rPr>
                <w:rFonts w:ascii="Century" w:hAnsi="Century"/>
                <w:color w:val="404040"/>
                <w:lang w:val="en-GB"/>
              </w:rPr>
              <w:t xml:space="preserve"> has a capital of YTL 2,475,225 and its center is in </w:t>
            </w:r>
            <w:smartTag w:uri="urn:schemas-microsoft-com:office:smarttags" w:element="place">
              <w:smartTag w:uri="urn:schemas-microsoft-com:office:smarttags" w:element="City">
                <w:r w:rsidR="008C2C5A" w:rsidRPr="00A41A00">
                  <w:rPr>
                    <w:rFonts w:ascii="Century" w:hAnsi="Century"/>
                    <w:color w:val="404040"/>
                    <w:lang w:val="en-GB"/>
                  </w:rPr>
                  <w:t>I</w:t>
                </w:r>
                <w:r w:rsidRPr="00A41A00">
                  <w:rPr>
                    <w:rFonts w:ascii="Century" w:hAnsi="Century"/>
                    <w:color w:val="404040"/>
                    <w:lang w:val="en-GB"/>
                  </w:rPr>
                  <w:t>stanbul</w:t>
                </w:r>
              </w:smartTag>
            </w:smartTag>
            <w:r w:rsidRPr="00A41A00">
              <w:rPr>
                <w:rFonts w:ascii="Century" w:hAnsi="Century"/>
                <w:color w:val="404040"/>
                <w:lang w:val="en-GB"/>
              </w:rPr>
              <w:t>.</w:t>
            </w:r>
          </w:p>
          <w:p w:rsidR="008C2C5A" w:rsidRPr="00A41A00" w:rsidRDefault="000447FE" w:rsidP="008C2C5A">
            <w:pPr>
              <w:pStyle w:val="NormalWeb"/>
              <w:jc w:val="both"/>
              <w:rPr>
                <w:rFonts w:ascii="Century" w:hAnsi="Century"/>
                <w:color w:val="404040"/>
              </w:rPr>
            </w:pPr>
            <w:r w:rsidRPr="00A41A00">
              <w:rPr>
                <w:rFonts w:ascii="Century" w:hAnsi="Century"/>
                <w:color w:val="404040"/>
              </w:rPr>
              <w:t>EGM</w:t>
            </w:r>
            <w:r w:rsidR="008C2C5A" w:rsidRPr="00A41A00">
              <w:rPr>
                <w:rFonts w:ascii="Century" w:hAnsi="Century"/>
                <w:color w:val="404040"/>
              </w:rPr>
              <w:t xml:space="preserve"> perform the following tasks;</w:t>
            </w:r>
          </w:p>
          <w:p w:rsidR="00457FB8"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 xml:space="preserve">Daily electronic monitoring &amp; </w:t>
            </w:r>
            <w:r w:rsidR="00E24467" w:rsidRPr="00A41A00">
              <w:rPr>
                <w:rFonts w:ascii="Century" w:hAnsi="Century"/>
                <w:color w:val="404040"/>
              </w:rPr>
              <w:t>surveillance of pension company</w:t>
            </w:r>
            <w:r w:rsidRPr="00A41A00">
              <w:rPr>
                <w:rFonts w:ascii="Century" w:hAnsi="Century"/>
                <w:color w:val="404040"/>
              </w:rPr>
              <w:t>s</w:t>
            </w:r>
            <w:r w:rsidR="00E24467" w:rsidRPr="00A41A00">
              <w:rPr>
                <w:rFonts w:ascii="Century" w:hAnsi="Century"/>
                <w:color w:val="404040"/>
              </w:rPr>
              <w:t>’</w:t>
            </w:r>
            <w:r w:rsidRPr="00A41A00">
              <w:rPr>
                <w:rFonts w:ascii="Century" w:hAnsi="Century"/>
                <w:color w:val="404040"/>
              </w:rPr>
              <w:t xml:space="preserve"> activities and</w:t>
            </w:r>
            <w:r w:rsidR="00E24467" w:rsidRPr="00A41A00">
              <w:rPr>
                <w:rFonts w:ascii="Century" w:hAnsi="Century"/>
                <w:color w:val="404040"/>
              </w:rPr>
              <w:t xml:space="preserve"> </w:t>
            </w:r>
            <w:r w:rsidR="00457FB8" w:rsidRPr="00A41A00">
              <w:rPr>
                <w:rFonts w:ascii="Century" w:hAnsi="Century"/>
                <w:color w:val="404040"/>
              </w:rPr>
              <w:t>reporting to the authorities</w:t>
            </w:r>
          </w:p>
          <w:p w:rsidR="00C26189" w:rsidRPr="00A41A00" w:rsidRDefault="009C277D"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s="Arial"/>
                <w:color w:val="404040"/>
              </w:rPr>
              <w:t>Consolidation of data, based on the daily transactions of the pensions companies</w:t>
            </w:r>
            <w:r w:rsidR="00C26189" w:rsidRPr="00A41A00">
              <w:rPr>
                <w:rFonts w:ascii="Century" w:hAnsi="Century"/>
                <w:color w:val="404040"/>
              </w:rPr>
              <w:t xml:space="preserve"> </w:t>
            </w:r>
          </w:p>
          <w:p w:rsidR="00C26189"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Storing standardized data for all individual accounts,</w:t>
            </w:r>
          </w:p>
          <w:p w:rsidR="00C26189"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Providing information to public and participants,</w:t>
            </w:r>
          </w:p>
          <w:p w:rsidR="008C2C5A"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Implementing the exam of Intermediaries &amp; keeping track of the electronic registries,</w:t>
            </w:r>
          </w:p>
          <w:p w:rsidR="008C2C5A"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Meeting the demand for common presentation, training activities, software &amp; allied subjects,</w:t>
            </w:r>
          </w:p>
          <w:p w:rsidR="009C277D" w:rsidRPr="00A41A00" w:rsidRDefault="009C277D" w:rsidP="009C277D">
            <w:pPr>
              <w:pStyle w:val="NormalWeb"/>
              <w:spacing w:before="0" w:beforeAutospacing="0" w:after="0" w:afterAutospacing="0"/>
              <w:ind w:left="360"/>
              <w:jc w:val="both"/>
              <w:rPr>
                <w:rFonts w:ascii="Century" w:hAnsi="Century"/>
                <w:color w:val="404040"/>
              </w:rPr>
            </w:pPr>
          </w:p>
          <w:p w:rsidR="008C2C5A" w:rsidRPr="00A41A00" w:rsidRDefault="008C2C5A" w:rsidP="00C26189">
            <w:pPr>
              <w:pStyle w:val="NormalWeb"/>
              <w:numPr>
                <w:ilvl w:val="0"/>
                <w:numId w:val="18"/>
              </w:numPr>
              <w:spacing w:before="0" w:beforeAutospacing="0" w:after="0" w:afterAutospacing="0"/>
              <w:jc w:val="both"/>
              <w:rPr>
                <w:rFonts w:ascii="Century" w:hAnsi="Century"/>
                <w:color w:val="404040"/>
              </w:rPr>
            </w:pPr>
            <w:r w:rsidRPr="00A41A00">
              <w:rPr>
                <w:rFonts w:ascii="Century" w:hAnsi="Century"/>
                <w:color w:val="404040"/>
              </w:rPr>
              <w:t>Organizing data for on time intervention to probable problems</w:t>
            </w:r>
          </w:p>
          <w:p w:rsidR="008C2C5A" w:rsidRPr="00A41A00" w:rsidRDefault="008C2C5A" w:rsidP="000447FE">
            <w:pPr>
              <w:pStyle w:val="NormalWeb"/>
              <w:spacing w:before="0" w:beforeAutospacing="0" w:after="0" w:afterAutospacing="0"/>
              <w:ind w:left="697" w:hanging="340"/>
              <w:jc w:val="both"/>
              <w:rPr>
                <w:rFonts w:ascii="Century" w:hAnsi="Century"/>
                <w:color w:val="404040"/>
                <w:highlight w:val="yellow"/>
                <w:lang w:val="en-GB"/>
              </w:rPr>
            </w:pPr>
          </w:p>
          <w:p w:rsidR="00A44CD7" w:rsidRPr="00A41A00" w:rsidRDefault="00A44CD7" w:rsidP="008D17FE">
            <w:pPr>
              <w:rPr>
                <w:rFonts w:ascii="Century" w:hAnsi="Century"/>
                <w:color w:val="404040"/>
                <w:highlight w:val="yellow"/>
                <w:lang w:val="tr-TR"/>
              </w:rPr>
            </w:pPr>
          </w:p>
          <w:p w:rsidR="008C2C5A" w:rsidRPr="00A41A00" w:rsidRDefault="008C2C5A" w:rsidP="008D17FE">
            <w:pPr>
              <w:rPr>
                <w:rFonts w:ascii="Century" w:hAnsi="Century"/>
                <w:color w:val="404040"/>
                <w:highlight w:val="yellow"/>
                <w:lang w:val="tr-TR"/>
              </w:rPr>
            </w:pPr>
          </w:p>
          <w:p w:rsidR="008C2C5A" w:rsidRPr="00A41A00" w:rsidRDefault="008C2C5A" w:rsidP="008D17FE">
            <w:pPr>
              <w:rPr>
                <w:rFonts w:ascii="Century" w:hAnsi="Century"/>
                <w:color w:val="404040"/>
                <w:highlight w:val="yellow"/>
                <w:lang w:val="tr-TR"/>
              </w:rPr>
            </w:pPr>
          </w:p>
          <w:p w:rsidR="008C2C5A" w:rsidRPr="00A41A00" w:rsidRDefault="008C2C5A" w:rsidP="008D17FE">
            <w:pPr>
              <w:rPr>
                <w:rFonts w:ascii="Century" w:hAnsi="Century"/>
                <w:color w:val="404040"/>
                <w:highlight w:val="yellow"/>
                <w:lang w:val="tr-TR"/>
              </w:rPr>
            </w:pPr>
          </w:p>
          <w:p w:rsidR="008C2C5A" w:rsidRPr="00A41A00" w:rsidRDefault="008C2C5A" w:rsidP="008C2C5A">
            <w:pPr>
              <w:jc w:val="both"/>
              <w:rPr>
                <w:rFonts w:ascii="Century" w:hAnsi="Century"/>
                <w:color w:val="404040"/>
                <w:highlight w:val="yellow"/>
              </w:rPr>
            </w:pPr>
            <w:r w:rsidRPr="00A41A00">
              <w:rPr>
                <w:rFonts w:ascii="Century" w:hAnsi="Century"/>
                <w:color w:val="404040"/>
              </w:rPr>
              <w:t xml:space="preserve">General indicators of private pension system collected </w:t>
            </w:r>
            <w:r w:rsidR="005C1730" w:rsidRPr="00A41A00">
              <w:rPr>
                <w:rFonts w:ascii="Century" w:hAnsi="Century"/>
                <w:color w:val="404040"/>
              </w:rPr>
              <w:t>by EGM for the period 01.01.2007-12.31.2007</w:t>
            </w:r>
            <w:r w:rsidRPr="00A41A00">
              <w:rPr>
                <w:rFonts w:ascii="Century" w:hAnsi="Century"/>
                <w:color w:val="404040"/>
              </w:rPr>
              <w:t xml:space="preserve"> are given below and detailed data in terms of compan</w:t>
            </w:r>
            <w:r w:rsidR="00E24467" w:rsidRPr="00A41A00">
              <w:rPr>
                <w:rFonts w:ascii="Century" w:hAnsi="Century"/>
                <w:color w:val="404040"/>
              </w:rPr>
              <w:t xml:space="preserve">ies are in </w:t>
            </w:r>
            <w:r w:rsidRPr="00A41A00">
              <w:rPr>
                <w:rFonts w:ascii="Century" w:hAnsi="Century"/>
                <w:color w:val="404040"/>
              </w:rPr>
              <w:t>Table 5</w:t>
            </w:r>
            <w:r w:rsidR="002D03B6" w:rsidRPr="00A41A00">
              <w:rPr>
                <w:rFonts w:ascii="Century" w:hAnsi="Century"/>
                <w:color w:val="404040"/>
              </w:rPr>
              <w:t>0</w:t>
            </w:r>
            <w:r w:rsidRPr="00A41A00">
              <w:rPr>
                <w:rFonts w:ascii="Century" w:hAnsi="Century"/>
                <w:color w:val="404040"/>
              </w:rPr>
              <w:t>. Number of contracts does not include the contracts which are not directed to investment yet and thus the contribution amounts.</w:t>
            </w:r>
          </w:p>
          <w:p w:rsidR="008C2C5A" w:rsidRPr="00A41A00" w:rsidRDefault="008C2C5A" w:rsidP="008C2C5A">
            <w:pPr>
              <w:jc w:val="both"/>
              <w:rPr>
                <w:rFonts w:ascii="Century" w:hAnsi="Century"/>
                <w:color w:val="404040"/>
              </w:rPr>
            </w:pPr>
          </w:p>
          <w:p w:rsidR="008C2C5A" w:rsidRPr="00A41A00" w:rsidRDefault="00E24467" w:rsidP="008C2C5A">
            <w:pPr>
              <w:jc w:val="both"/>
              <w:rPr>
                <w:rFonts w:ascii="Century" w:hAnsi="Century"/>
                <w:color w:val="404040"/>
              </w:rPr>
            </w:pPr>
            <w:r w:rsidRPr="00A41A00">
              <w:rPr>
                <w:rFonts w:ascii="Century" w:hAnsi="Century"/>
                <w:color w:val="404040"/>
              </w:rPr>
              <w:t xml:space="preserve">According to </w:t>
            </w:r>
            <w:r w:rsidR="00AB1521" w:rsidRPr="00A41A00">
              <w:rPr>
                <w:rFonts w:ascii="Century" w:hAnsi="Century"/>
                <w:color w:val="404040"/>
              </w:rPr>
              <w:t>Table</w:t>
            </w:r>
            <w:r w:rsidR="001118AE" w:rsidRPr="00A41A00">
              <w:rPr>
                <w:rFonts w:ascii="Century" w:hAnsi="Century"/>
                <w:color w:val="404040"/>
              </w:rPr>
              <w:t xml:space="preserve"> </w:t>
            </w:r>
            <w:r w:rsidR="00AB1521" w:rsidRPr="00A41A00">
              <w:rPr>
                <w:rFonts w:ascii="Century" w:hAnsi="Century"/>
                <w:color w:val="404040"/>
              </w:rPr>
              <w:t>2.2-1 which presents d</w:t>
            </w:r>
            <w:r w:rsidR="008C2C5A" w:rsidRPr="00A41A00">
              <w:rPr>
                <w:rFonts w:ascii="Century" w:hAnsi="Century"/>
                <w:color w:val="404040"/>
              </w:rPr>
              <w:t xml:space="preserve">istribution </w:t>
            </w:r>
            <w:r w:rsidR="00AB1521" w:rsidRPr="00A41A00">
              <w:rPr>
                <w:rFonts w:ascii="Century" w:hAnsi="Century"/>
                <w:color w:val="404040"/>
              </w:rPr>
              <w:t>channels, individual direct sales have the largest share.</w:t>
            </w:r>
          </w:p>
          <w:p w:rsidR="008C2C5A" w:rsidRPr="00A41A00" w:rsidRDefault="008C2C5A" w:rsidP="008C2C5A">
            <w:pPr>
              <w:jc w:val="both"/>
              <w:rPr>
                <w:rFonts w:ascii="Century" w:hAnsi="Century"/>
                <w:color w:val="404040"/>
              </w:rPr>
            </w:pPr>
          </w:p>
          <w:p w:rsidR="008C2C5A" w:rsidRPr="00367FA3" w:rsidRDefault="008C2C5A" w:rsidP="008D17FE">
            <w:pPr>
              <w:rPr>
                <w:rFonts w:ascii="Century" w:hAnsi="Century"/>
                <w:highlight w:val="yellow"/>
                <w:lang w:val="tr-TR"/>
              </w:rPr>
            </w:pPr>
          </w:p>
        </w:tc>
      </w:tr>
      <w:tr w:rsidR="00D86152" w:rsidRPr="00367FA3">
        <w:tc>
          <w:tcPr>
            <w:tcW w:w="9855" w:type="dxa"/>
            <w:gridSpan w:val="5"/>
          </w:tcPr>
          <w:p w:rsidR="003F1860" w:rsidRPr="005C1730" w:rsidRDefault="003F1860" w:rsidP="00A13177">
            <w:pPr>
              <w:pStyle w:val="ResimYazs"/>
              <w:jc w:val="center"/>
              <w:rPr>
                <w:rFonts w:ascii="Century" w:hAnsi="Century"/>
                <w:lang w:val="tr-TR"/>
              </w:rPr>
            </w:pPr>
            <w:bookmarkStart w:id="132" w:name="_Toc170665568"/>
            <w:r w:rsidRPr="005C1730">
              <w:rPr>
                <w:rFonts w:ascii="Century" w:hAnsi="Century"/>
                <w:lang w:val="tr-TR"/>
              </w:rPr>
              <w:lastRenderedPageBreak/>
              <w:t xml:space="preserve">Tablo </w:t>
            </w:r>
            <w:r w:rsidR="00D532F8" w:rsidRPr="005C1730">
              <w:rPr>
                <w:rFonts w:ascii="Century" w:hAnsi="Century"/>
                <w:lang w:val="tr-TR"/>
              </w:rPr>
              <w:t>2.2</w:t>
            </w:r>
            <w:r w:rsidRPr="005C1730">
              <w:rPr>
                <w:rFonts w:ascii="Century" w:hAnsi="Century"/>
                <w:lang w:val="tr-TR"/>
              </w:rPr>
              <w:noBreakHyphen/>
            </w:r>
            <w:r w:rsidRPr="005C1730">
              <w:rPr>
                <w:rFonts w:ascii="Century" w:hAnsi="Century"/>
                <w:lang w:val="tr-TR"/>
              </w:rPr>
              <w:fldChar w:fldCharType="begin"/>
            </w:r>
            <w:r w:rsidRPr="005C1730">
              <w:rPr>
                <w:rFonts w:ascii="Century" w:hAnsi="Century"/>
                <w:lang w:val="tr-TR"/>
              </w:rPr>
              <w:instrText xml:space="preserve"> SEQ Tablo \* ARABIC \s 2 </w:instrText>
            </w:r>
            <w:r w:rsidRPr="005C1730">
              <w:rPr>
                <w:rFonts w:ascii="Century" w:hAnsi="Century"/>
                <w:lang w:val="tr-TR"/>
              </w:rPr>
              <w:fldChar w:fldCharType="separate"/>
            </w:r>
            <w:r w:rsidR="00DA718E">
              <w:rPr>
                <w:rFonts w:ascii="Century" w:hAnsi="Century"/>
                <w:noProof/>
                <w:lang w:val="tr-TR"/>
              </w:rPr>
              <w:t>1</w:t>
            </w:r>
            <w:r w:rsidRPr="005C1730">
              <w:rPr>
                <w:rFonts w:ascii="Century" w:hAnsi="Century"/>
                <w:lang w:val="tr-TR"/>
              </w:rPr>
              <w:fldChar w:fldCharType="end"/>
            </w:r>
            <w:r w:rsidRPr="005C1730">
              <w:rPr>
                <w:rFonts w:ascii="Century" w:hAnsi="Century"/>
                <w:lang w:val="tr-TR"/>
              </w:rPr>
              <w:t xml:space="preserve">; </w:t>
            </w:r>
            <w:r w:rsidRPr="005C1730">
              <w:rPr>
                <w:rFonts w:ascii="Century" w:hAnsi="Century"/>
                <w:bCs w:val="0"/>
                <w:lang w:val="tr-TR"/>
              </w:rPr>
              <w:t>Dağıtım Kanalına Göre -</w:t>
            </w:r>
            <w:r w:rsidRPr="005C1730">
              <w:rPr>
                <w:rFonts w:ascii="Century" w:hAnsi="Century"/>
                <w:i/>
                <w:iCs/>
                <w:lang w:val="tr-TR"/>
              </w:rPr>
              <w:t xml:space="preserve"> </w:t>
            </w:r>
            <w:r w:rsidRPr="005C1730">
              <w:rPr>
                <w:rFonts w:ascii="Century" w:hAnsi="Century"/>
                <w:b w:val="0"/>
                <w:i/>
                <w:iCs/>
                <w:lang w:val="tr-TR"/>
              </w:rPr>
              <w:t>According to Distribution Channels</w:t>
            </w:r>
            <w:bookmarkEnd w:id="132"/>
          </w:p>
          <w:p w:rsidR="00D86152" w:rsidRPr="00F837CD" w:rsidRDefault="00F837CD" w:rsidP="00A13177">
            <w:pPr>
              <w:jc w:val="center"/>
              <w:rPr>
                <w:rFonts w:ascii="Century" w:hAnsi="Century"/>
                <w:highlight w:val="yellow"/>
                <w:lang w:val="tr-TR"/>
              </w:rPr>
            </w:pPr>
            <w:r w:rsidRPr="00F837CD">
              <w:rPr>
                <w:rFonts w:ascii="Century" w:hAnsi="Century"/>
                <w:lang w:val="tr-TR"/>
              </w:rPr>
              <w:pict>
                <v:shape id="_x0000_i1086" type="#_x0000_t75" style="width:339.75pt;height:138pt">
                  <v:imagedata r:id="rId76" o:title=""/>
                </v:shape>
              </w:pict>
            </w:r>
          </w:p>
        </w:tc>
      </w:tr>
      <w:tr w:rsidR="00D86152" w:rsidRPr="00367FA3">
        <w:tc>
          <w:tcPr>
            <w:tcW w:w="4815" w:type="dxa"/>
            <w:gridSpan w:val="2"/>
          </w:tcPr>
          <w:p w:rsidR="0008236F" w:rsidRPr="00F837CD" w:rsidRDefault="0008236F" w:rsidP="008D17FE">
            <w:pPr>
              <w:jc w:val="both"/>
              <w:rPr>
                <w:rFonts w:ascii="Century" w:hAnsi="Century"/>
                <w:lang w:val="tr-TR"/>
              </w:rPr>
            </w:pPr>
          </w:p>
          <w:p w:rsidR="003F1860" w:rsidRPr="00F837CD" w:rsidRDefault="003F1860" w:rsidP="008D17FE">
            <w:pPr>
              <w:jc w:val="both"/>
              <w:rPr>
                <w:rFonts w:ascii="Century" w:hAnsi="Century"/>
                <w:lang w:val="tr-TR"/>
              </w:rPr>
            </w:pPr>
            <w:r w:rsidRPr="00F837CD">
              <w:rPr>
                <w:rFonts w:ascii="Century" w:hAnsi="Century"/>
                <w:lang w:val="tr-TR"/>
              </w:rPr>
              <w:t>Aynı döneme ilişkin ödeme şekline göre ayrıma bakıldığında ise, kredi kartı ile ödeme şeklinin yoğunlukta olduğu görülmektedir.</w:t>
            </w:r>
          </w:p>
          <w:p w:rsidR="00D86152" w:rsidRPr="00F837CD" w:rsidRDefault="00D86152" w:rsidP="008D17FE">
            <w:pPr>
              <w:rPr>
                <w:rFonts w:ascii="Century" w:hAnsi="Century"/>
                <w:lang w:val="tr-TR"/>
              </w:rPr>
            </w:pPr>
          </w:p>
        </w:tc>
        <w:tc>
          <w:tcPr>
            <w:tcW w:w="236" w:type="dxa"/>
            <w:gridSpan w:val="2"/>
          </w:tcPr>
          <w:p w:rsidR="00D86152" w:rsidRPr="00F837CD" w:rsidRDefault="00D86152" w:rsidP="008D17FE">
            <w:pPr>
              <w:rPr>
                <w:rFonts w:ascii="Century" w:hAnsi="Century"/>
                <w:lang w:val="tr-TR"/>
              </w:rPr>
            </w:pPr>
          </w:p>
        </w:tc>
        <w:tc>
          <w:tcPr>
            <w:tcW w:w="4804" w:type="dxa"/>
          </w:tcPr>
          <w:p w:rsidR="00D86152" w:rsidRPr="00F837CD" w:rsidRDefault="00D86152" w:rsidP="008D17FE">
            <w:pPr>
              <w:rPr>
                <w:rFonts w:ascii="Century" w:hAnsi="Century"/>
                <w:color w:val="808080"/>
                <w:lang w:val="tr-TR"/>
              </w:rPr>
            </w:pPr>
          </w:p>
          <w:p w:rsidR="002E6DBC" w:rsidRPr="00A41A00" w:rsidRDefault="00A3656C" w:rsidP="008D17FE">
            <w:pPr>
              <w:rPr>
                <w:rFonts w:ascii="Century" w:hAnsi="Century"/>
                <w:color w:val="404040"/>
                <w:lang w:val="tr-TR"/>
              </w:rPr>
            </w:pPr>
            <w:r w:rsidRPr="00A41A00">
              <w:rPr>
                <w:rFonts w:ascii="Century" w:hAnsi="Century"/>
                <w:color w:val="404040"/>
              </w:rPr>
              <w:t>According to payment tools for the same period, c</w:t>
            </w:r>
            <w:r w:rsidR="002E6DBC" w:rsidRPr="00A41A00">
              <w:rPr>
                <w:rFonts w:ascii="Century" w:hAnsi="Century"/>
                <w:color w:val="404040"/>
              </w:rPr>
              <w:t>redit card is the most common tool for payments</w:t>
            </w:r>
            <w:r w:rsidR="005E26AD" w:rsidRPr="00A41A00">
              <w:rPr>
                <w:rFonts w:ascii="Century" w:hAnsi="Century"/>
                <w:color w:val="404040"/>
              </w:rPr>
              <w:t>.</w:t>
            </w:r>
          </w:p>
          <w:p w:rsidR="002E6DBC" w:rsidRPr="00F837CD" w:rsidRDefault="002E6DBC" w:rsidP="008D17FE">
            <w:pPr>
              <w:rPr>
                <w:rFonts w:ascii="Century" w:hAnsi="Century"/>
                <w:color w:val="808080"/>
                <w:lang w:val="tr-TR"/>
              </w:rPr>
            </w:pPr>
          </w:p>
        </w:tc>
      </w:tr>
      <w:tr w:rsidR="00D86152" w:rsidRPr="00367FA3">
        <w:tc>
          <w:tcPr>
            <w:tcW w:w="9855" w:type="dxa"/>
            <w:gridSpan w:val="5"/>
          </w:tcPr>
          <w:p w:rsidR="003F1860" w:rsidRPr="00F837CD" w:rsidRDefault="003F1860" w:rsidP="00A13177">
            <w:pPr>
              <w:pStyle w:val="ResimYazs"/>
              <w:jc w:val="center"/>
              <w:rPr>
                <w:rFonts w:ascii="Century" w:hAnsi="Century"/>
                <w:lang w:val="tr-TR"/>
              </w:rPr>
            </w:pPr>
            <w:bookmarkStart w:id="133" w:name="_Toc170665569"/>
            <w:r w:rsidRPr="00F837CD">
              <w:rPr>
                <w:rFonts w:ascii="Century" w:hAnsi="Century"/>
                <w:lang w:val="tr-TR"/>
              </w:rPr>
              <w:t xml:space="preserve">Tablo </w:t>
            </w:r>
            <w:r w:rsidR="00D532F8" w:rsidRPr="00F837CD">
              <w:rPr>
                <w:rFonts w:ascii="Century" w:hAnsi="Century"/>
                <w:lang w:val="tr-TR"/>
              </w:rPr>
              <w:t>2.2</w:t>
            </w:r>
            <w:r w:rsidRPr="00F837CD">
              <w:rPr>
                <w:rFonts w:ascii="Century" w:hAnsi="Century"/>
                <w:lang w:val="tr-TR"/>
              </w:rPr>
              <w:noBreakHyphen/>
            </w:r>
            <w:r w:rsidRPr="00F837CD">
              <w:rPr>
                <w:rFonts w:ascii="Century" w:hAnsi="Century"/>
                <w:lang w:val="tr-TR"/>
              </w:rPr>
              <w:fldChar w:fldCharType="begin"/>
            </w:r>
            <w:r w:rsidRPr="00F837CD">
              <w:rPr>
                <w:rFonts w:ascii="Century" w:hAnsi="Century"/>
                <w:lang w:val="tr-TR"/>
              </w:rPr>
              <w:instrText xml:space="preserve"> SEQ Tablo \* ARABIC \s 2 </w:instrText>
            </w:r>
            <w:r w:rsidRPr="00F837CD">
              <w:rPr>
                <w:rFonts w:ascii="Century" w:hAnsi="Century"/>
                <w:lang w:val="tr-TR"/>
              </w:rPr>
              <w:fldChar w:fldCharType="separate"/>
            </w:r>
            <w:r w:rsidR="00DA718E">
              <w:rPr>
                <w:rFonts w:ascii="Century" w:hAnsi="Century"/>
                <w:noProof/>
                <w:lang w:val="tr-TR"/>
              </w:rPr>
              <w:t>2</w:t>
            </w:r>
            <w:r w:rsidRPr="00F837CD">
              <w:rPr>
                <w:rFonts w:ascii="Century" w:hAnsi="Century"/>
                <w:lang w:val="tr-TR"/>
              </w:rPr>
              <w:fldChar w:fldCharType="end"/>
            </w:r>
            <w:r w:rsidRPr="00F837CD">
              <w:rPr>
                <w:rFonts w:ascii="Century" w:hAnsi="Century"/>
                <w:lang w:val="tr-TR"/>
              </w:rPr>
              <w:t xml:space="preserve">; </w:t>
            </w:r>
            <w:r w:rsidRPr="00F837CD">
              <w:rPr>
                <w:rFonts w:ascii="Century" w:hAnsi="Century"/>
                <w:bCs w:val="0"/>
                <w:lang w:val="tr-TR"/>
              </w:rPr>
              <w:t xml:space="preserve">Ödeme Aracına Göre - </w:t>
            </w:r>
            <w:r w:rsidRPr="00F837CD">
              <w:rPr>
                <w:rFonts w:ascii="Century" w:hAnsi="Century"/>
                <w:b w:val="0"/>
                <w:i/>
                <w:iCs/>
                <w:lang w:val="tr-TR"/>
              </w:rPr>
              <w:t>According to Payment Tools</w:t>
            </w:r>
            <w:bookmarkEnd w:id="133"/>
          </w:p>
          <w:p w:rsidR="00D86152" w:rsidRPr="00F837CD" w:rsidRDefault="00F837CD" w:rsidP="00A13177">
            <w:pPr>
              <w:jc w:val="center"/>
              <w:rPr>
                <w:rFonts w:ascii="Century" w:hAnsi="Century"/>
                <w:lang w:val="tr-TR"/>
              </w:rPr>
            </w:pPr>
            <w:r w:rsidRPr="00F837CD">
              <w:rPr>
                <w:rFonts w:ascii="Century" w:hAnsi="Century"/>
                <w:lang w:val="tr-TR"/>
              </w:rPr>
              <w:pict>
                <v:shape id="_x0000_i1087" type="#_x0000_t75" style="width:315pt;height:126pt">
                  <v:imagedata r:id="rId77" o:title=""/>
                </v:shape>
              </w:pict>
            </w:r>
          </w:p>
        </w:tc>
      </w:tr>
      <w:tr w:rsidR="00D86152" w:rsidRPr="00367FA3">
        <w:tc>
          <w:tcPr>
            <w:tcW w:w="4815" w:type="dxa"/>
            <w:gridSpan w:val="2"/>
          </w:tcPr>
          <w:p w:rsidR="0008236F" w:rsidRPr="00F837CD" w:rsidRDefault="0008236F" w:rsidP="008D17FE">
            <w:pPr>
              <w:jc w:val="both"/>
              <w:rPr>
                <w:rFonts w:ascii="Century" w:hAnsi="Century"/>
                <w:lang w:val="tr-TR"/>
              </w:rPr>
            </w:pPr>
          </w:p>
          <w:p w:rsidR="00E83EAD" w:rsidRPr="00F837CD" w:rsidRDefault="00E83EAD" w:rsidP="008D17FE">
            <w:pPr>
              <w:jc w:val="both"/>
              <w:rPr>
                <w:rFonts w:ascii="Century" w:hAnsi="Century"/>
                <w:lang w:val="tr-TR"/>
              </w:rPr>
            </w:pPr>
          </w:p>
          <w:p w:rsidR="003F1860" w:rsidRPr="00F837CD" w:rsidRDefault="00A3656C" w:rsidP="008D17FE">
            <w:pPr>
              <w:jc w:val="both"/>
              <w:rPr>
                <w:rFonts w:ascii="Century" w:hAnsi="Century"/>
                <w:lang w:val="tr-TR"/>
              </w:rPr>
            </w:pPr>
            <w:r w:rsidRPr="00F837CD">
              <w:rPr>
                <w:rFonts w:ascii="Century" w:hAnsi="Century"/>
                <w:lang w:val="tr-TR"/>
              </w:rPr>
              <w:t>Ö</w:t>
            </w:r>
            <w:r w:rsidR="003F1860" w:rsidRPr="00F837CD">
              <w:rPr>
                <w:rFonts w:ascii="Century" w:hAnsi="Century"/>
                <w:lang w:val="tr-TR"/>
              </w:rPr>
              <w:t>deme yapılan para cinsin</w:t>
            </w:r>
            <w:r w:rsidR="002168BE" w:rsidRPr="00F837CD">
              <w:rPr>
                <w:rFonts w:ascii="Century" w:hAnsi="Century"/>
                <w:lang w:val="tr-TR"/>
              </w:rPr>
              <w:t>e göre ayrımda ise</w:t>
            </w:r>
            <w:r w:rsidR="003F1860" w:rsidRPr="00F837CD">
              <w:rPr>
                <w:rFonts w:ascii="Century" w:hAnsi="Century"/>
                <w:lang w:val="tr-TR"/>
              </w:rPr>
              <w:t xml:space="preserve"> katılımcıların %</w:t>
            </w:r>
            <w:r w:rsidR="002547A1" w:rsidRPr="00F837CD">
              <w:rPr>
                <w:rFonts w:ascii="Century" w:hAnsi="Century"/>
                <w:lang w:val="tr-TR"/>
              </w:rPr>
              <w:t xml:space="preserve"> </w:t>
            </w:r>
            <w:r w:rsidR="003F1860" w:rsidRPr="00F837CD">
              <w:rPr>
                <w:rFonts w:ascii="Century" w:hAnsi="Century"/>
                <w:lang w:val="tr-TR"/>
              </w:rPr>
              <w:t>8</w:t>
            </w:r>
            <w:r w:rsidR="00F837CD" w:rsidRPr="00F837CD">
              <w:rPr>
                <w:rFonts w:ascii="Century" w:hAnsi="Century"/>
                <w:lang w:val="tr-TR"/>
              </w:rPr>
              <w:t>8</w:t>
            </w:r>
            <w:r w:rsidR="003F1860" w:rsidRPr="00F837CD">
              <w:rPr>
                <w:rFonts w:ascii="Century" w:hAnsi="Century"/>
                <w:lang w:val="tr-TR"/>
              </w:rPr>
              <w:t>’</w:t>
            </w:r>
            <w:r w:rsidR="00F837CD" w:rsidRPr="00F837CD">
              <w:rPr>
                <w:rFonts w:ascii="Century" w:hAnsi="Century"/>
                <w:lang w:val="tr-TR"/>
              </w:rPr>
              <w:t>inin</w:t>
            </w:r>
            <w:r w:rsidR="003F1860" w:rsidRPr="00F837CD">
              <w:rPr>
                <w:rFonts w:ascii="Century" w:hAnsi="Century"/>
                <w:lang w:val="tr-TR"/>
              </w:rPr>
              <w:t xml:space="preserve"> tercihinin Türk Lirası olduğu görülmektedir.</w:t>
            </w:r>
          </w:p>
          <w:p w:rsidR="00D86152" w:rsidRPr="00F837CD" w:rsidRDefault="00D86152" w:rsidP="008D17FE">
            <w:pPr>
              <w:rPr>
                <w:rFonts w:ascii="Century" w:hAnsi="Century"/>
                <w:lang w:val="tr-TR"/>
              </w:rPr>
            </w:pPr>
          </w:p>
        </w:tc>
        <w:tc>
          <w:tcPr>
            <w:tcW w:w="236" w:type="dxa"/>
            <w:gridSpan w:val="2"/>
          </w:tcPr>
          <w:p w:rsidR="00D86152" w:rsidRPr="00F837CD" w:rsidRDefault="00D86152" w:rsidP="008D17FE">
            <w:pPr>
              <w:rPr>
                <w:rFonts w:ascii="Century" w:hAnsi="Century"/>
                <w:lang w:val="tr-TR"/>
              </w:rPr>
            </w:pPr>
          </w:p>
        </w:tc>
        <w:tc>
          <w:tcPr>
            <w:tcW w:w="4804" w:type="dxa"/>
          </w:tcPr>
          <w:p w:rsidR="00D86152" w:rsidRPr="00F837CD" w:rsidRDefault="00D86152" w:rsidP="008D17FE">
            <w:pPr>
              <w:rPr>
                <w:rFonts w:ascii="Century" w:hAnsi="Century"/>
                <w:color w:val="595959"/>
                <w:lang w:val="tr-TR"/>
              </w:rPr>
            </w:pPr>
          </w:p>
          <w:p w:rsidR="00E83EAD" w:rsidRPr="00F837CD" w:rsidRDefault="00E83EAD" w:rsidP="008D17FE">
            <w:pPr>
              <w:rPr>
                <w:rFonts w:ascii="Century" w:hAnsi="Century"/>
                <w:color w:val="595959"/>
                <w:lang w:val="tr-TR"/>
              </w:rPr>
            </w:pPr>
          </w:p>
          <w:p w:rsidR="0043410B" w:rsidRPr="00A41A00" w:rsidRDefault="00A3656C" w:rsidP="0043410B">
            <w:pPr>
              <w:jc w:val="both"/>
              <w:rPr>
                <w:rFonts w:ascii="Century" w:hAnsi="Century"/>
                <w:color w:val="404040"/>
              </w:rPr>
            </w:pPr>
            <w:r w:rsidRPr="00A41A00">
              <w:rPr>
                <w:rFonts w:ascii="Century" w:hAnsi="Century"/>
                <w:color w:val="404040"/>
              </w:rPr>
              <w:t xml:space="preserve">According to currency, </w:t>
            </w:r>
            <w:r w:rsidR="0043410B" w:rsidRPr="00A41A00">
              <w:rPr>
                <w:rFonts w:ascii="Century" w:hAnsi="Century"/>
                <w:color w:val="404040"/>
              </w:rPr>
              <w:t>8</w:t>
            </w:r>
            <w:r w:rsidR="00F837CD" w:rsidRPr="00A41A00">
              <w:rPr>
                <w:rFonts w:ascii="Century" w:hAnsi="Century"/>
                <w:color w:val="404040"/>
              </w:rPr>
              <w:t>8</w:t>
            </w:r>
            <w:r w:rsidR="0043410B" w:rsidRPr="00A41A00">
              <w:rPr>
                <w:rFonts w:ascii="Century" w:hAnsi="Century"/>
                <w:color w:val="404040"/>
              </w:rPr>
              <w:t>% of the participants prefer YTL currency for payments.</w:t>
            </w:r>
          </w:p>
          <w:p w:rsidR="002E6DBC" w:rsidRPr="00F837CD" w:rsidRDefault="002E6DBC" w:rsidP="008D17FE">
            <w:pPr>
              <w:rPr>
                <w:rFonts w:ascii="Century" w:hAnsi="Century"/>
                <w:color w:val="595959"/>
                <w:lang w:val="tr-TR"/>
              </w:rPr>
            </w:pPr>
          </w:p>
        </w:tc>
      </w:tr>
      <w:tr w:rsidR="00D86152" w:rsidRPr="00367FA3">
        <w:tc>
          <w:tcPr>
            <w:tcW w:w="9855" w:type="dxa"/>
            <w:gridSpan w:val="5"/>
          </w:tcPr>
          <w:p w:rsidR="003F1860" w:rsidRPr="00F837CD" w:rsidRDefault="003F1860" w:rsidP="00A13177">
            <w:pPr>
              <w:pStyle w:val="ResimYazs"/>
              <w:jc w:val="center"/>
              <w:rPr>
                <w:rFonts w:ascii="Century" w:hAnsi="Century"/>
                <w:lang w:val="tr-TR"/>
              </w:rPr>
            </w:pPr>
            <w:bookmarkStart w:id="134" w:name="_Toc170665570"/>
            <w:r w:rsidRPr="00F837CD">
              <w:rPr>
                <w:rFonts w:ascii="Century" w:hAnsi="Century"/>
                <w:lang w:val="tr-TR"/>
              </w:rPr>
              <w:t xml:space="preserve">Tablo </w:t>
            </w:r>
            <w:r w:rsidR="00D532F8" w:rsidRPr="00F837CD">
              <w:rPr>
                <w:rFonts w:ascii="Century" w:hAnsi="Century"/>
                <w:lang w:val="tr-TR"/>
              </w:rPr>
              <w:t>2.2</w:t>
            </w:r>
            <w:r w:rsidRPr="00F837CD">
              <w:rPr>
                <w:rFonts w:ascii="Century" w:hAnsi="Century"/>
                <w:lang w:val="tr-TR"/>
              </w:rPr>
              <w:noBreakHyphen/>
            </w:r>
            <w:r w:rsidRPr="00F837CD">
              <w:rPr>
                <w:rFonts w:ascii="Century" w:hAnsi="Century"/>
                <w:lang w:val="tr-TR"/>
              </w:rPr>
              <w:fldChar w:fldCharType="begin"/>
            </w:r>
            <w:r w:rsidRPr="00F837CD">
              <w:rPr>
                <w:rFonts w:ascii="Century" w:hAnsi="Century"/>
                <w:lang w:val="tr-TR"/>
              </w:rPr>
              <w:instrText xml:space="preserve"> SEQ Tablo \* ARABIC \s 2 </w:instrText>
            </w:r>
            <w:r w:rsidRPr="00F837CD">
              <w:rPr>
                <w:rFonts w:ascii="Century" w:hAnsi="Century"/>
                <w:lang w:val="tr-TR"/>
              </w:rPr>
              <w:fldChar w:fldCharType="separate"/>
            </w:r>
            <w:r w:rsidR="00DA718E">
              <w:rPr>
                <w:rFonts w:ascii="Century" w:hAnsi="Century"/>
                <w:noProof/>
                <w:lang w:val="tr-TR"/>
              </w:rPr>
              <w:t>3</w:t>
            </w:r>
            <w:r w:rsidRPr="00F837CD">
              <w:rPr>
                <w:rFonts w:ascii="Century" w:hAnsi="Century"/>
                <w:lang w:val="tr-TR"/>
              </w:rPr>
              <w:fldChar w:fldCharType="end"/>
            </w:r>
            <w:r w:rsidRPr="00F837CD">
              <w:rPr>
                <w:rFonts w:ascii="Century" w:hAnsi="Century"/>
                <w:lang w:val="tr-TR"/>
              </w:rPr>
              <w:t xml:space="preserve">; </w:t>
            </w:r>
            <w:r w:rsidRPr="00F837CD">
              <w:rPr>
                <w:rFonts w:ascii="Century" w:hAnsi="Century"/>
                <w:bCs w:val="0"/>
                <w:lang w:val="tr-TR"/>
              </w:rPr>
              <w:t xml:space="preserve">Ödemenin Yapıldığı Para Birimine Göre - </w:t>
            </w:r>
            <w:r w:rsidRPr="00F837CD">
              <w:rPr>
                <w:rFonts w:ascii="Century" w:hAnsi="Century"/>
                <w:b w:val="0"/>
                <w:i/>
                <w:iCs/>
                <w:lang w:val="tr-TR"/>
              </w:rPr>
              <w:t>According to Currency</w:t>
            </w:r>
            <w:bookmarkEnd w:id="134"/>
          </w:p>
          <w:p w:rsidR="00D86152" w:rsidRPr="00823A36" w:rsidRDefault="00823A36" w:rsidP="00A13177">
            <w:pPr>
              <w:jc w:val="center"/>
              <w:rPr>
                <w:rFonts w:ascii="Century" w:hAnsi="Century"/>
                <w:highlight w:val="yellow"/>
                <w:lang w:val="tr-TR"/>
              </w:rPr>
            </w:pPr>
            <w:r w:rsidRPr="00823A36">
              <w:rPr>
                <w:rFonts w:ascii="Century" w:hAnsi="Century"/>
                <w:lang w:val="tr-TR"/>
              </w:rPr>
              <w:pict>
                <v:shape id="_x0000_i1088" type="#_x0000_t75" style="width:401.25pt;height:51pt">
                  <v:imagedata r:id="rId78" o:title=""/>
                </v:shape>
              </w:pict>
            </w:r>
          </w:p>
          <w:p w:rsidR="00E83EAD" w:rsidRPr="00367FA3" w:rsidRDefault="00E83EAD" w:rsidP="008D17FE">
            <w:pPr>
              <w:rPr>
                <w:rFonts w:ascii="Century" w:hAnsi="Century"/>
                <w:highlight w:val="yellow"/>
                <w:lang w:val="tr-TR"/>
              </w:rPr>
            </w:pPr>
          </w:p>
        </w:tc>
      </w:tr>
      <w:tr w:rsidR="00D86152" w:rsidRPr="00367FA3">
        <w:tc>
          <w:tcPr>
            <w:tcW w:w="4815" w:type="dxa"/>
            <w:gridSpan w:val="2"/>
          </w:tcPr>
          <w:p w:rsidR="007C4124" w:rsidRPr="00367FA3" w:rsidRDefault="007C4124" w:rsidP="008D17FE">
            <w:pPr>
              <w:jc w:val="both"/>
              <w:rPr>
                <w:rFonts w:ascii="Century" w:hAnsi="Century"/>
                <w:highlight w:val="yellow"/>
                <w:lang w:val="tr-TR"/>
              </w:rPr>
            </w:pPr>
          </w:p>
          <w:p w:rsidR="00E83EAD" w:rsidRPr="00F837CD" w:rsidRDefault="00E83EAD" w:rsidP="008D17FE">
            <w:pPr>
              <w:jc w:val="both"/>
              <w:rPr>
                <w:rFonts w:ascii="Century" w:hAnsi="Century"/>
                <w:lang w:val="tr-TR"/>
              </w:rPr>
            </w:pPr>
          </w:p>
          <w:p w:rsidR="003F1860" w:rsidRPr="00F837CD" w:rsidRDefault="003F1860" w:rsidP="008D17FE">
            <w:pPr>
              <w:jc w:val="both"/>
              <w:rPr>
                <w:rFonts w:ascii="Century" w:hAnsi="Century"/>
                <w:lang w:val="tr-TR"/>
              </w:rPr>
            </w:pPr>
            <w:r w:rsidRPr="00F837CD">
              <w:rPr>
                <w:rFonts w:ascii="Century" w:hAnsi="Century"/>
                <w:lang w:val="tr-TR"/>
              </w:rPr>
              <w:t>Söz</w:t>
            </w:r>
            <w:r w:rsidR="002168BE" w:rsidRPr="00F837CD">
              <w:rPr>
                <w:rFonts w:ascii="Century" w:hAnsi="Century"/>
                <w:lang w:val="tr-TR"/>
              </w:rPr>
              <w:t>leşmelerin bölge bazında ayrımı</w:t>
            </w:r>
            <w:r w:rsidRPr="00F837CD">
              <w:rPr>
                <w:rFonts w:ascii="Century" w:hAnsi="Century"/>
                <w:lang w:val="tr-TR"/>
              </w:rPr>
              <w:t xml:space="preserve"> </w:t>
            </w:r>
            <w:r w:rsidR="002168BE" w:rsidRPr="00F837CD">
              <w:rPr>
                <w:rFonts w:ascii="Century" w:hAnsi="Century"/>
                <w:lang w:val="tr-TR"/>
              </w:rPr>
              <w:t xml:space="preserve">incelendiğinde </w:t>
            </w:r>
            <w:r w:rsidRPr="00F837CD">
              <w:rPr>
                <w:rFonts w:ascii="Century" w:hAnsi="Century"/>
                <w:lang w:val="tr-TR"/>
              </w:rPr>
              <w:t>katılımcıların %</w:t>
            </w:r>
            <w:r w:rsidR="002547A1" w:rsidRPr="00F837CD">
              <w:rPr>
                <w:rFonts w:ascii="Century" w:hAnsi="Century"/>
                <w:lang w:val="tr-TR"/>
              </w:rPr>
              <w:t xml:space="preserve"> </w:t>
            </w:r>
            <w:r w:rsidRPr="00F837CD">
              <w:rPr>
                <w:rFonts w:ascii="Century" w:hAnsi="Century"/>
                <w:lang w:val="tr-TR"/>
              </w:rPr>
              <w:t>4</w:t>
            </w:r>
            <w:r w:rsidR="00F837CD" w:rsidRPr="00F837CD">
              <w:rPr>
                <w:rFonts w:ascii="Century" w:hAnsi="Century"/>
                <w:lang w:val="tr-TR"/>
              </w:rPr>
              <w:t>8</w:t>
            </w:r>
            <w:r w:rsidRPr="00F837CD">
              <w:rPr>
                <w:rFonts w:ascii="Century" w:hAnsi="Century"/>
                <w:lang w:val="tr-TR"/>
              </w:rPr>
              <w:t>’inin Marmara Bölgesinde, yaklaşık %</w:t>
            </w:r>
            <w:r w:rsidR="002547A1" w:rsidRPr="00F837CD">
              <w:rPr>
                <w:rFonts w:ascii="Century" w:hAnsi="Century"/>
                <w:lang w:val="tr-TR"/>
              </w:rPr>
              <w:t xml:space="preserve"> </w:t>
            </w:r>
            <w:r w:rsidRPr="00F837CD">
              <w:rPr>
                <w:rFonts w:ascii="Century" w:hAnsi="Century"/>
                <w:lang w:val="tr-TR"/>
              </w:rPr>
              <w:t>16’sının İç Anadolu Bölgesinde ikamet ettikleri görülmektedir.</w:t>
            </w:r>
          </w:p>
          <w:p w:rsidR="007C4124" w:rsidRPr="00367FA3" w:rsidRDefault="007C4124" w:rsidP="008D17FE">
            <w:pPr>
              <w:rPr>
                <w:rFonts w:ascii="Century" w:hAnsi="Century"/>
                <w:highlight w:val="yellow"/>
                <w:lang w:val="tr-TR"/>
              </w:rPr>
            </w:pPr>
          </w:p>
          <w:p w:rsidR="00E83EAD" w:rsidRDefault="00E83EAD" w:rsidP="008D17FE">
            <w:pPr>
              <w:rPr>
                <w:rFonts w:ascii="Century" w:hAnsi="Century"/>
                <w:highlight w:val="yellow"/>
                <w:lang w:val="tr-TR"/>
              </w:rPr>
            </w:pPr>
          </w:p>
          <w:p w:rsidR="00823A36" w:rsidRPr="00367FA3" w:rsidRDefault="00823A36"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color w:val="808080"/>
                <w:highlight w:val="yellow"/>
                <w:lang w:val="tr-TR"/>
              </w:rPr>
            </w:pPr>
          </w:p>
          <w:p w:rsidR="00E83EAD" w:rsidRPr="00F837CD" w:rsidRDefault="00E83EAD" w:rsidP="008D17FE">
            <w:pPr>
              <w:rPr>
                <w:rFonts w:ascii="Century" w:hAnsi="Century"/>
                <w:color w:val="808080"/>
                <w:lang w:val="tr-TR"/>
              </w:rPr>
            </w:pPr>
          </w:p>
          <w:p w:rsidR="0043410B" w:rsidRPr="00A41A00" w:rsidRDefault="0043410B" w:rsidP="0043410B">
            <w:pPr>
              <w:jc w:val="both"/>
              <w:rPr>
                <w:rFonts w:ascii="Century" w:hAnsi="Century"/>
                <w:color w:val="404040"/>
              </w:rPr>
            </w:pPr>
            <w:r w:rsidRPr="00A41A00">
              <w:rPr>
                <w:rFonts w:ascii="Century" w:hAnsi="Century"/>
                <w:color w:val="404040"/>
              </w:rPr>
              <w:t>It is observed that 4</w:t>
            </w:r>
            <w:r w:rsidR="00F837CD" w:rsidRPr="00A41A00">
              <w:rPr>
                <w:rFonts w:ascii="Century" w:hAnsi="Century"/>
                <w:color w:val="404040"/>
              </w:rPr>
              <w:t>8</w:t>
            </w:r>
            <w:r w:rsidRPr="00A41A00">
              <w:rPr>
                <w:rFonts w:ascii="Century" w:hAnsi="Century"/>
                <w:color w:val="404040"/>
              </w:rPr>
              <w:t>% of the participants reside in Marmara Region and 16% of participants reside in each Regions Central Anatolia</w:t>
            </w:r>
            <w:r w:rsidR="00F837CD" w:rsidRPr="00A41A00">
              <w:rPr>
                <w:rFonts w:ascii="Century" w:hAnsi="Century"/>
                <w:color w:val="404040"/>
              </w:rPr>
              <w:t>.</w:t>
            </w:r>
          </w:p>
          <w:p w:rsidR="0043410B" w:rsidRPr="00367FA3" w:rsidRDefault="0043410B" w:rsidP="008D17FE">
            <w:pPr>
              <w:rPr>
                <w:rFonts w:ascii="Century" w:hAnsi="Century"/>
                <w:color w:val="808080"/>
                <w:highlight w:val="yellow"/>
                <w:lang w:val="tr-TR"/>
              </w:rPr>
            </w:pPr>
          </w:p>
        </w:tc>
      </w:tr>
      <w:tr w:rsidR="00D86152" w:rsidRPr="00367FA3">
        <w:tc>
          <w:tcPr>
            <w:tcW w:w="9855" w:type="dxa"/>
            <w:gridSpan w:val="5"/>
          </w:tcPr>
          <w:p w:rsidR="003F1860" w:rsidRPr="00F837CD" w:rsidRDefault="003F1860" w:rsidP="00A13177">
            <w:pPr>
              <w:pStyle w:val="ResimYazs"/>
              <w:jc w:val="center"/>
              <w:rPr>
                <w:rFonts w:ascii="Century" w:hAnsi="Century"/>
                <w:lang w:val="tr-TR"/>
              </w:rPr>
            </w:pPr>
            <w:bookmarkStart w:id="135" w:name="_Toc170665571"/>
            <w:r w:rsidRPr="00F837CD">
              <w:rPr>
                <w:rFonts w:ascii="Century" w:hAnsi="Century"/>
                <w:lang w:val="tr-TR"/>
              </w:rPr>
              <w:lastRenderedPageBreak/>
              <w:t xml:space="preserve">Tablo </w:t>
            </w:r>
            <w:r w:rsidR="00D532F8" w:rsidRPr="00F837CD">
              <w:rPr>
                <w:rFonts w:ascii="Century" w:hAnsi="Century"/>
                <w:lang w:val="tr-TR"/>
              </w:rPr>
              <w:t>2.2</w:t>
            </w:r>
            <w:r w:rsidRPr="00F837CD">
              <w:rPr>
                <w:rFonts w:ascii="Century" w:hAnsi="Century"/>
                <w:lang w:val="tr-TR"/>
              </w:rPr>
              <w:noBreakHyphen/>
            </w:r>
            <w:r w:rsidRPr="00F837CD">
              <w:rPr>
                <w:rFonts w:ascii="Century" w:hAnsi="Century"/>
                <w:lang w:val="tr-TR"/>
              </w:rPr>
              <w:fldChar w:fldCharType="begin"/>
            </w:r>
            <w:r w:rsidRPr="00F837CD">
              <w:rPr>
                <w:rFonts w:ascii="Century" w:hAnsi="Century"/>
                <w:lang w:val="tr-TR"/>
              </w:rPr>
              <w:instrText xml:space="preserve"> SEQ Tablo \* ARABIC \s 2 </w:instrText>
            </w:r>
            <w:r w:rsidRPr="00F837CD">
              <w:rPr>
                <w:rFonts w:ascii="Century" w:hAnsi="Century"/>
                <w:lang w:val="tr-TR"/>
              </w:rPr>
              <w:fldChar w:fldCharType="separate"/>
            </w:r>
            <w:r w:rsidR="00DA718E">
              <w:rPr>
                <w:rFonts w:ascii="Century" w:hAnsi="Century"/>
                <w:noProof/>
                <w:lang w:val="tr-TR"/>
              </w:rPr>
              <w:t>4</w:t>
            </w:r>
            <w:r w:rsidRPr="00F837CD">
              <w:rPr>
                <w:rFonts w:ascii="Century" w:hAnsi="Century"/>
                <w:lang w:val="tr-TR"/>
              </w:rPr>
              <w:fldChar w:fldCharType="end"/>
            </w:r>
            <w:r w:rsidRPr="00F837CD">
              <w:rPr>
                <w:rFonts w:ascii="Century" w:hAnsi="Century"/>
                <w:lang w:val="tr-TR"/>
              </w:rPr>
              <w:t xml:space="preserve">; </w:t>
            </w:r>
            <w:r w:rsidRPr="00F837CD">
              <w:rPr>
                <w:rFonts w:ascii="Century" w:hAnsi="Century"/>
                <w:bCs w:val="0"/>
                <w:lang w:val="tr-TR"/>
              </w:rPr>
              <w:t xml:space="preserve">Katılımcıların İkamet Ettikleri Coğrafi Bölgeye Göre - </w:t>
            </w:r>
            <w:r w:rsidRPr="00F837CD">
              <w:rPr>
                <w:rFonts w:ascii="Century" w:hAnsi="Century"/>
                <w:b w:val="0"/>
                <w:i/>
                <w:iCs/>
                <w:lang w:val="tr-TR"/>
              </w:rPr>
              <w:t>According to Location</w:t>
            </w:r>
            <w:bookmarkEnd w:id="135"/>
          </w:p>
          <w:p w:rsidR="007C4124" w:rsidRPr="00F837CD" w:rsidRDefault="00F837CD" w:rsidP="001118AE">
            <w:pPr>
              <w:jc w:val="center"/>
              <w:rPr>
                <w:rFonts w:ascii="Century" w:hAnsi="Century"/>
                <w:highlight w:val="yellow"/>
                <w:lang w:val="tr-TR"/>
              </w:rPr>
            </w:pPr>
            <w:r w:rsidRPr="00F837CD">
              <w:rPr>
                <w:rFonts w:ascii="Century" w:hAnsi="Century"/>
                <w:lang w:val="tr-TR"/>
              </w:rPr>
              <w:pict>
                <v:shape id="_x0000_i1089" type="#_x0000_t75" style="width:315pt;height:150.75pt">
                  <v:imagedata r:id="rId79" o:title=""/>
                </v:shape>
              </w:pict>
            </w:r>
          </w:p>
        </w:tc>
      </w:tr>
      <w:tr w:rsidR="00D86152" w:rsidRPr="00367FA3">
        <w:tc>
          <w:tcPr>
            <w:tcW w:w="4815" w:type="dxa"/>
            <w:gridSpan w:val="2"/>
          </w:tcPr>
          <w:p w:rsidR="001118AE" w:rsidRPr="00367FA3" w:rsidRDefault="001118AE" w:rsidP="00330245">
            <w:pPr>
              <w:pStyle w:val="Balk2"/>
              <w:keepNext w:val="0"/>
              <w:numPr>
                <w:ilvl w:val="0"/>
                <w:numId w:val="0"/>
              </w:numPr>
              <w:tabs>
                <w:tab w:val="left" w:pos="522"/>
              </w:tabs>
              <w:spacing w:before="0" w:after="0"/>
              <w:ind w:left="1021" w:hanging="1021"/>
              <w:rPr>
                <w:rFonts w:ascii="Century" w:hAnsi="Century"/>
                <w:i w:val="0"/>
                <w:sz w:val="24"/>
                <w:szCs w:val="24"/>
                <w:highlight w:val="yellow"/>
                <w:lang w:val="tr-TR"/>
              </w:rPr>
            </w:pPr>
          </w:p>
          <w:p w:rsidR="0008236F" w:rsidRPr="005C1730" w:rsidRDefault="00A62644" w:rsidP="00330245">
            <w:pPr>
              <w:pStyle w:val="Balk2"/>
              <w:keepNext w:val="0"/>
              <w:numPr>
                <w:ilvl w:val="0"/>
                <w:numId w:val="0"/>
              </w:numPr>
              <w:tabs>
                <w:tab w:val="left" w:pos="522"/>
              </w:tabs>
              <w:spacing w:before="0" w:after="0"/>
              <w:ind w:left="1021" w:hanging="1021"/>
              <w:rPr>
                <w:rFonts w:ascii="Century" w:hAnsi="Century"/>
                <w:i w:val="0"/>
                <w:sz w:val="24"/>
                <w:szCs w:val="24"/>
                <w:lang w:val="tr-TR"/>
              </w:rPr>
            </w:pPr>
            <w:bookmarkStart w:id="136" w:name="_Toc198287714"/>
            <w:bookmarkStart w:id="137" w:name="_Toc199251261"/>
            <w:r w:rsidRPr="005C1730">
              <w:rPr>
                <w:rFonts w:ascii="Century" w:hAnsi="Century"/>
                <w:i w:val="0"/>
                <w:sz w:val="24"/>
                <w:szCs w:val="24"/>
                <w:lang w:val="tr-TR"/>
              </w:rPr>
              <w:t xml:space="preserve">2.3. </w:t>
            </w:r>
            <w:r w:rsidR="0008236F" w:rsidRPr="005C1730">
              <w:rPr>
                <w:rFonts w:ascii="Century" w:hAnsi="Century"/>
                <w:i w:val="0"/>
                <w:sz w:val="24"/>
                <w:szCs w:val="24"/>
                <w:lang w:val="tr-TR"/>
              </w:rPr>
              <w:t>Trafik Sigorta</w:t>
            </w:r>
            <w:r w:rsidR="00E84642">
              <w:rPr>
                <w:rFonts w:ascii="Century" w:hAnsi="Century"/>
                <w:i w:val="0"/>
                <w:sz w:val="24"/>
                <w:szCs w:val="24"/>
                <w:lang w:val="tr-TR"/>
              </w:rPr>
              <w:t>ları</w:t>
            </w:r>
            <w:r w:rsidR="0008236F" w:rsidRPr="005C1730">
              <w:rPr>
                <w:rFonts w:ascii="Century" w:hAnsi="Century"/>
                <w:i w:val="0"/>
                <w:sz w:val="24"/>
                <w:szCs w:val="24"/>
                <w:lang w:val="tr-TR"/>
              </w:rPr>
              <w:t xml:space="preserve"> Bilgi Merkezi (TRAMER)</w:t>
            </w:r>
            <w:bookmarkEnd w:id="136"/>
            <w:bookmarkEnd w:id="137"/>
          </w:p>
          <w:p w:rsidR="005A43F8" w:rsidRPr="00F837CD" w:rsidRDefault="005A43F8" w:rsidP="005A43F8">
            <w:pPr>
              <w:pStyle w:val="NormalWeb"/>
              <w:spacing w:before="0" w:beforeAutospacing="0" w:after="0" w:afterAutospacing="0"/>
              <w:jc w:val="both"/>
              <w:rPr>
                <w:rFonts w:ascii="Century" w:hAnsi="Century"/>
                <w:sz w:val="20"/>
                <w:szCs w:val="20"/>
                <w:highlight w:val="yellow"/>
              </w:rPr>
            </w:pPr>
          </w:p>
          <w:p w:rsidR="00463126" w:rsidRPr="0043755B" w:rsidRDefault="003F1860" w:rsidP="00463126">
            <w:pPr>
              <w:pStyle w:val="NormalWeb"/>
              <w:spacing w:before="0" w:beforeAutospacing="0" w:after="0" w:afterAutospacing="0"/>
              <w:jc w:val="both"/>
              <w:rPr>
                <w:rFonts w:ascii="Century" w:hAnsi="Century"/>
              </w:rPr>
            </w:pPr>
            <w:r w:rsidRPr="0043755B">
              <w:rPr>
                <w:rFonts w:ascii="Century" w:hAnsi="Century"/>
              </w:rPr>
              <w:t>Ülkemizde prim üretimi açısından önemli bir büyüklüğe ve geniş bir uygulama alanına s</w:t>
            </w:r>
            <w:r w:rsidR="001118AE" w:rsidRPr="0043755B">
              <w:rPr>
                <w:rFonts w:ascii="Century" w:hAnsi="Century"/>
              </w:rPr>
              <w:t>ahip olan Trafik Sigortasının (</w:t>
            </w:r>
            <w:r w:rsidRPr="0043755B">
              <w:rPr>
                <w:rFonts w:ascii="Century" w:hAnsi="Century"/>
              </w:rPr>
              <w:t>Karayolları Motorlu Araçlar Zorunlu Mali Sorumluluk Sigortası) daha sağlıklı bir alt yapıya kavuşturulması için 16.12.2003 tarih ve 25318 sayılı Resmi Gazetede yayımlanan Trafik Sigortası Bilgi Merkezi Yöne</w:t>
            </w:r>
            <w:r w:rsidR="007F4EBD" w:rsidRPr="0043755B">
              <w:rPr>
                <w:rFonts w:ascii="Century" w:hAnsi="Century"/>
              </w:rPr>
              <w:t>t</w:t>
            </w:r>
            <w:r w:rsidRPr="0043755B">
              <w:rPr>
                <w:rFonts w:ascii="Century" w:hAnsi="Century"/>
              </w:rPr>
              <w:t>meliği ile kısaca TRAMER olarak adlandırılan Trafik Sigortası Bilgi Merkezi kurulmuştur.</w:t>
            </w:r>
            <w:r w:rsidR="003E0035">
              <w:rPr>
                <w:rFonts w:ascii="Century" w:hAnsi="Century"/>
              </w:rPr>
              <w:t xml:space="preserve"> </w:t>
            </w:r>
            <w:r w:rsidR="002B7283">
              <w:rPr>
                <w:rFonts w:ascii="Century" w:hAnsi="Century"/>
              </w:rPr>
              <w:t xml:space="preserve">Başlangıçta sadece trafik sigortalarını kapsayan </w:t>
            </w:r>
            <w:r w:rsidR="00463126">
              <w:rPr>
                <w:rFonts w:ascii="Century" w:hAnsi="Century"/>
              </w:rPr>
              <w:t>Yönetmelik,</w:t>
            </w:r>
            <w:r w:rsidR="002B7283">
              <w:rPr>
                <w:rFonts w:ascii="Century" w:hAnsi="Century"/>
              </w:rPr>
              <w:t xml:space="preserve"> </w:t>
            </w:r>
            <w:r w:rsidR="00463126" w:rsidRPr="00463126">
              <w:rPr>
                <w:rFonts w:ascii="Century" w:hAnsi="Century"/>
              </w:rPr>
              <w:t>11.04.2007 tarih ve 26490 sayılı Resmi Gazete’de yayımlanan Trafik Sigortaları Bilgi Merkezi Yönetmeliği ile yürürlükten kaldırılarak Kara Taşıtları Kasko Sigortası, Karayolu Yolcu Taşımacılığı Zorunlu Koltuk Ferdi Kaza Sigortası ve Zorunlu Karayolu Taşımacılık Mali Sorumluluk Sigortası da kapsama dahil edilmiştir.</w:t>
            </w:r>
          </w:p>
          <w:p w:rsidR="00463126" w:rsidRPr="00463126" w:rsidRDefault="00463126" w:rsidP="00463126">
            <w:pPr>
              <w:pStyle w:val="NormalWeb"/>
              <w:spacing w:before="0" w:beforeAutospacing="0" w:after="0" w:afterAutospacing="0"/>
              <w:jc w:val="both"/>
              <w:rPr>
                <w:rFonts w:ascii="Century" w:hAnsi="Century"/>
              </w:rPr>
            </w:pPr>
          </w:p>
          <w:p w:rsidR="00463126" w:rsidRPr="00463126" w:rsidRDefault="00463126" w:rsidP="00463126">
            <w:pPr>
              <w:pStyle w:val="NormalWeb"/>
              <w:spacing w:before="0" w:beforeAutospacing="0" w:after="0" w:afterAutospacing="0"/>
              <w:jc w:val="both"/>
              <w:rPr>
                <w:rFonts w:ascii="Century" w:hAnsi="Century"/>
              </w:rPr>
            </w:pPr>
            <w:r w:rsidRPr="00463126">
              <w:rPr>
                <w:rFonts w:ascii="Century" w:hAnsi="Century"/>
              </w:rPr>
              <w:t>Karayolu Motorlu Araçlar Mali Sorumluluk Sigortası veya Kaza Sigortası branşlarında faaliyet ruhsatı bulunan tüm sigorta şirketleri Merkezin doğal üyesidir.</w:t>
            </w:r>
          </w:p>
          <w:p w:rsidR="0043755B" w:rsidRDefault="0043755B" w:rsidP="005A43F8">
            <w:pPr>
              <w:pStyle w:val="NormalWeb"/>
              <w:spacing w:before="0" w:beforeAutospacing="0" w:after="0" w:afterAutospacing="0"/>
              <w:jc w:val="both"/>
              <w:rPr>
                <w:rFonts w:ascii="Century" w:hAnsi="Century"/>
                <w:highlight w:val="yellow"/>
              </w:rPr>
            </w:pPr>
          </w:p>
          <w:p w:rsidR="003F1860" w:rsidRPr="0043755B" w:rsidRDefault="003F1860" w:rsidP="005A43F8">
            <w:pPr>
              <w:pStyle w:val="NormalWeb"/>
              <w:spacing w:before="0" w:beforeAutospacing="0" w:after="0" w:afterAutospacing="0"/>
              <w:jc w:val="both"/>
              <w:rPr>
                <w:rFonts w:ascii="Century" w:hAnsi="Century"/>
              </w:rPr>
            </w:pPr>
            <w:r w:rsidRPr="0043755B">
              <w:rPr>
                <w:rFonts w:ascii="Century" w:hAnsi="Century"/>
              </w:rPr>
              <w:t xml:space="preserve">TRAMER’ in kurulması ile temel olarak; </w:t>
            </w:r>
            <w:r w:rsidR="00463126">
              <w:rPr>
                <w:rFonts w:ascii="Century" w:hAnsi="Century"/>
              </w:rPr>
              <w:t>oto</w:t>
            </w:r>
            <w:r w:rsidRPr="0043755B">
              <w:rPr>
                <w:rFonts w:ascii="Century" w:hAnsi="Century"/>
              </w:rPr>
              <w:t xml:space="preserve"> sigortalarına ilişkin güvenilir istatistiklerin temini, uygulama birliği sağlanması, sigorta sahtekârlıklarının </w:t>
            </w:r>
            <w:r w:rsidRPr="0043755B">
              <w:rPr>
                <w:rFonts w:ascii="Century" w:hAnsi="Century"/>
              </w:rPr>
              <w:lastRenderedPageBreak/>
              <w:t xml:space="preserve">önlenmesi, sigorta sistemine olan güvenin artırılması, tazminat ödemelerinin düzenli ve doğru biçimde gerçekleştirilmesi, zorunlu sigortalarını yaptırmamış motorlu araç işletenlerinin tespiti ve sigortalılık oranlarının artırılmasını sağlamak amaçlanmıştır. </w:t>
            </w:r>
          </w:p>
          <w:p w:rsidR="005A43F8" w:rsidRPr="00367FA3" w:rsidRDefault="005A43F8" w:rsidP="005A43F8">
            <w:pPr>
              <w:jc w:val="both"/>
              <w:rPr>
                <w:rFonts w:ascii="Century" w:hAnsi="Century"/>
                <w:highlight w:val="yellow"/>
                <w:lang w:val="tr-TR"/>
              </w:rPr>
            </w:pPr>
          </w:p>
          <w:p w:rsidR="007F4EBD" w:rsidRPr="00367FA3" w:rsidRDefault="003F1860" w:rsidP="0003798C">
            <w:pPr>
              <w:jc w:val="both"/>
              <w:rPr>
                <w:rFonts w:ascii="Century" w:hAnsi="Century"/>
                <w:highlight w:val="yellow"/>
                <w:lang w:val="tr-TR"/>
              </w:rPr>
            </w:pPr>
            <w:r w:rsidRPr="00F5095E">
              <w:rPr>
                <w:rFonts w:ascii="Century" w:hAnsi="Century"/>
                <w:lang w:val="tr-TR"/>
              </w:rPr>
              <w:t>TRAMER Bi</w:t>
            </w:r>
            <w:r w:rsidR="00F5095E" w:rsidRPr="00F5095E">
              <w:rPr>
                <w:rFonts w:ascii="Century" w:hAnsi="Century"/>
                <w:lang w:val="tr-TR"/>
              </w:rPr>
              <w:t>lgi Merkezi’nden alınan 01.01.</w:t>
            </w:r>
            <w:r w:rsidR="00294CA2">
              <w:rPr>
                <w:rFonts w:ascii="Century" w:hAnsi="Century"/>
                <w:lang w:val="tr-TR"/>
              </w:rPr>
              <w:t>20</w:t>
            </w:r>
            <w:r w:rsidR="00F5095E" w:rsidRPr="00F5095E">
              <w:rPr>
                <w:rFonts w:ascii="Century" w:hAnsi="Century"/>
                <w:lang w:val="tr-TR"/>
              </w:rPr>
              <w:t>07-31.12.</w:t>
            </w:r>
            <w:r w:rsidR="00294CA2">
              <w:rPr>
                <w:rFonts w:ascii="Century" w:hAnsi="Century"/>
                <w:lang w:val="tr-TR"/>
              </w:rPr>
              <w:t>20</w:t>
            </w:r>
            <w:r w:rsidR="00F5095E" w:rsidRPr="00F5095E">
              <w:rPr>
                <w:rFonts w:ascii="Century" w:hAnsi="Century"/>
                <w:lang w:val="tr-TR"/>
              </w:rPr>
              <w:t>07</w:t>
            </w:r>
            <w:r w:rsidRPr="00F5095E">
              <w:rPr>
                <w:rFonts w:ascii="Century" w:hAnsi="Century"/>
                <w:lang w:val="tr-TR"/>
              </w:rPr>
              <w:t xml:space="preserve"> dönemini kapsayan veriler </w:t>
            </w:r>
            <w:r w:rsidRPr="0003798C">
              <w:rPr>
                <w:rFonts w:ascii="Century" w:hAnsi="Century"/>
                <w:lang w:val="tr-TR"/>
              </w:rPr>
              <w:t>aşağıda, il bazında sigorta bilgileri ise Tablo</w:t>
            </w:r>
            <w:r w:rsidR="005E26AD" w:rsidRPr="0003798C">
              <w:rPr>
                <w:rFonts w:ascii="Century" w:hAnsi="Century"/>
                <w:lang w:val="tr-TR"/>
              </w:rPr>
              <w:t xml:space="preserve"> </w:t>
            </w:r>
            <w:r w:rsidRPr="0003798C">
              <w:rPr>
                <w:rFonts w:ascii="Century" w:hAnsi="Century"/>
                <w:lang w:val="tr-TR"/>
              </w:rPr>
              <w:t>5</w:t>
            </w:r>
            <w:r w:rsidR="002D03B6">
              <w:rPr>
                <w:rFonts w:ascii="Century" w:hAnsi="Century"/>
                <w:lang w:val="tr-TR"/>
              </w:rPr>
              <w:t>1</w:t>
            </w:r>
            <w:r w:rsidRPr="0003798C">
              <w:rPr>
                <w:rFonts w:ascii="Century" w:hAnsi="Century"/>
                <w:lang w:val="tr-TR"/>
              </w:rPr>
              <w:t>’</w:t>
            </w:r>
            <w:r w:rsidR="00887F8C" w:rsidRPr="0003798C">
              <w:rPr>
                <w:rFonts w:ascii="Century" w:hAnsi="Century"/>
                <w:lang w:val="tr-TR"/>
              </w:rPr>
              <w:t>d</w:t>
            </w:r>
            <w:r w:rsidRPr="0003798C">
              <w:rPr>
                <w:rFonts w:ascii="Century" w:hAnsi="Century"/>
                <w:lang w:val="tr-TR"/>
              </w:rPr>
              <w:t>e verilmiştir.</w:t>
            </w:r>
          </w:p>
        </w:tc>
        <w:tc>
          <w:tcPr>
            <w:tcW w:w="236" w:type="dxa"/>
            <w:gridSpan w:val="2"/>
          </w:tcPr>
          <w:p w:rsidR="00D86152" w:rsidRPr="00367FA3" w:rsidRDefault="00D86152" w:rsidP="008D17FE">
            <w:pPr>
              <w:rPr>
                <w:rFonts w:ascii="Century" w:hAnsi="Century"/>
                <w:highlight w:val="yellow"/>
                <w:lang w:val="tr-TR"/>
              </w:rPr>
            </w:pPr>
          </w:p>
        </w:tc>
        <w:tc>
          <w:tcPr>
            <w:tcW w:w="4804" w:type="dxa"/>
            <w:vAlign w:val="center"/>
          </w:tcPr>
          <w:p w:rsidR="00BC1014" w:rsidRPr="00CC0EC4" w:rsidRDefault="00BC1014" w:rsidP="005362E7">
            <w:pPr>
              <w:jc w:val="both"/>
              <w:rPr>
                <w:rFonts w:ascii="Century" w:hAnsi="Century"/>
                <w:b/>
                <w:color w:val="1C1C1C"/>
                <w:lang w:val="tr-TR"/>
              </w:rPr>
            </w:pPr>
          </w:p>
          <w:p w:rsidR="002B7283" w:rsidRPr="00A41A00" w:rsidRDefault="002B7283" w:rsidP="005362E7">
            <w:pPr>
              <w:jc w:val="both"/>
              <w:rPr>
                <w:rFonts w:ascii="Century" w:hAnsi="Century"/>
                <w:b/>
                <w:color w:val="404040"/>
              </w:rPr>
            </w:pPr>
            <w:r w:rsidRPr="00A41A00">
              <w:rPr>
                <w:rFonts w:ascii="Century" w:hAnsi="Century"/>
                <w:b/>
                <w:color w:val="404040"/>
              </w:rPr>
              <w:t xml:space="preserve">2.3. </w:t>
            </w:r>
            <w:smartTag w:uri="urn:schemas-microsoft-com:office:smarttags" w:element="place">
              <w:smartTag w:uri="urn:schemas-microsoft-com:office:smarttags" w:element="PlaceName">
                <w:r w:rsidRPr="00A41A00">
                  <w:rPr>
                    <w:rFonts w:ascii="Century" w:hAnsi="Century"/>
                    <w:b/>
                    <w:color w:val="404040"/>
                  </w:rPr>
                  <w:t>Motor</w:t>
                </w:r>
              </w:smartTag>
              <w:r w:rsidRPr="00A41A00">
                <w:rPr>
                  <w:rFonts w:ascii="Century" w:hAnsi="Century"/>
                  <w:b/>
                  <w:color w:val="404040"/>
                </w:rPr>
                <w:t xml:space="preserve"> </w:t>
              </w:r>
              <w:smartTag w:uri="urn:schemas-microsoft-com:office:smarttags" w:element="PlaceName">
                <w:r w:rsidRPr="00A41A00">
                  <w:rPr>
                    <w:rFonts w:ascii="Century" w:hAnsi="Century"/>
                    <w:b/>
                    <w:color w:val="404040"/>
                  </w:rPr>
                  <w:t>TPL</w:t>
                </w:r>
              </w:smartTag>
              <w:r w:rsidRPr="00A41A00">
                <w:rPr>
                  <w:rFonts w:ascii="Century" w:hAnsi="Century"/>
                  <w:b/>
                  <w:color w:val="404040"/>
                </w:rPr>
                <w:t xml:space="preserve"> </w:t>
              </w:r>
              <w:smartTag w:uri="urn:schemas-microsoft-com:office:smarttags" w:element="PlaceName">
                <w:r w:rsidRPr="00A41A00">
                  <w:rPr>
                    <w:rFonts w:ascii="Century" w:hAnsi="Century"/>
                    <w:b/>
                    <w:color w:val="404040"/>
                  </w:rPr>
                  <w:t>Insurance</w:t>
                </w:r>
              </w:smartTag>
              <w:r w:rsidRPr="00A41A00">
                <w:rPr>
                  <w:rFonts w:ascii="Century" w:hAnsi="Century"/>
                  <w:b/>
                  <w:color w:val="404040"/>
                </w:rPr>
                <w:t xml:space="preserve"> </w:t>
              </w:r>
              <w:smartTag w:uri="urn:schemas-microsoft-com:office:smarttags" w:element="PlaceName">
                <w:r w:rsidRPr="00A41A00">
                  <w:rPr>
                    <w:rFonts w:ascii="Century" w:hAnsi="Century"/>
                    <w:b/>
                    <w:color w:val="404040"/>
                  </w:rPr>
                  <w:t>Information</w:t>
                </w:r>
              </w:smartTag>
              <w:r w:rsidRPr="00A41A00">
                <w:rPr>
                  <w:rFonts w:ascii="Century" w:hAnsi="Century"/>
                  <w:b/>
                  <w:color w:val="404040"/>
                </w:rPr>
                <w:t xml:space="preserve"> </w:t>
              </w:r>
              <w:smartTag w:uri="urn:schemas-microsoft-com:office:smarttags" w:element="PlaceType">
                <w:r w:rsidRPr="00A41A00">
                  <w:rPr>
                    <w:rFonts w:ascii="Century" w:hAnsi="Century"/>
                    <w:b/>
                    <w:color w:val="404040"/>
                  </w:rPr>
                  <w:t>Center</w:t>
                </w:r>
              </w:smartTag>
            </w:smartTag>
            <w:r w:rsidRPr="00A41A00">
              <w:rPr>
                <w:rFonts w:ascii="Century" w:hAnsi="Century"/>
                <w:b/>
                <w:color w:val="404040"/>
              </w:rPr>
              <w:t xml:space="preserve"> (TRAMER)</w:t>
            </w:r>
          </w:p>
          <w:p w:rsidR="002B7283" w:rsidRPr="00A41A00" w:rsidRDefault="002B7283" w:rsidP="005362E7">
            <w:pPr>
              <w:jc w:val="both"/>
              <w:rPr>
                <w:rFonts w:ascii="Century" w:hAnsi="Century"/>
                <w:color w:val="404040"/>
              </w:rPr>
            </w:pPr>
          </w:p>
          <w:p w:rsidR="00E91288" w:rsidRPr="00A41A00" w:rsidRDefault="00BC1014" w:rsidP="00BC1014">
            <w:pPr>
              <w:jc w:val="both"/>
              <w:rPr>
                <w:rFonts w:ascii="Century" w:hAnsi="Century"/>
                <w:color w:val="404040"/>
                <w:lang w:val="tr-TR" w:eastAsia="tr-TR"/>
              </w:rPr>
            </w:pPr>
            <w:r w:rsidRPr="00A41A00">
              <w:rPr>
                <w:rFonts w:ascii="Century" w:hAnsi="Century"/>
                <w:color w:val="404040"/>
              </w:rPr>
              <w:t>To</w:t>
            </w:r>
            <w:r w:rsidR="002B7283" w:rsidRPr="00A41A00">
              <w:rPr>
                <w:rFonts w:ascii="Century" w:hAnsi="Century"/>
                <w:color w:val="404040"/>
              </w:rPr>
              <w:t xml:space="preserve"> reach </w:t>
            </w:r>
            <w:r w:rsidR="007F4EBD" w:rsidRPr="00A41A00">
              <w:rPr>
                <w:rFonts w:ascii="Century" w:hAnsi="Century"/>
                <w:color w:val="404040"/>
              </w:rPr>
              <w:t xml:space="preserve">more robust structure in </w:t>
            </w:r>
            <w:smartTag w:uri="urn:schemas-microsoft-com:office:smarttags" w:element="stockticker">
              <w:r w:rsidR="007F4EBD" w:rsidRPr="00A41A00">
                <w:rPr>
                  <w:rFonts w:ascii="Century" w:hAnsi="Century"/>
                  <w:color w:val="404040"/>
                </w:rPr>
                <w:t>TPL</w:t>
              </w:r>
            </w:smartTag>
            <w:r w:rsidR="007F4EBD" w:rsidRPr="00A41A00">
              <w:rPr>
                <w:rFonts w:ascii="Century" w:hAnsi="Century"/>
                <w:color w:val="404040"/>
              </w:rPr>
              <w:t xml:space="preserve"> branch which is one of the major branches in respect to its premium volum</w:t>
            </w:r>
            <w:r w:rsidR="00910EDC" w:rsidRPr="00A41A00">
              <w:rPr>
                <w:rFonts w:ascii="Century" w:hAnsi="Century"/>
                <w:color w:val="404040"/>
              </w:rPr>
              <w:t>e and prevelance</w:t>
            </w:r>
            <w:r w:rsidR="007F4EBD" w:rsidRPr="00A41A00">
              <w:rPr>
                <w:rFonts w:ascii="Century" w:hAnsi="Century"/>
                <w:color w:val="404040"/>
              </w:rPr>
              <w:t xml:space="preserve">, Motor </w:t>
            </w:r>
            <w:smartTag w:uri="urn:schemas-microsoft-com:office:smarttags" w:element="stockticker">
              <w:r w:rsidR="007F4EBD" w:rsidRPr="00A41A00">
                <w:rPr>
                  <w:rFonts w:ascii="Century" w:hAnsi="Century"/>
                  <w:color w:val="404040"/>
                </w:rPr>
                <w:t>TPL</w:t>
              </w:r>
            </w:smartTag>
            <w:r w:rsidR="007F4EBD" w:rsidRPr="00A41A00">
              <w:rPr>
                <w:rFonts w:ascii="Century" w:hAnsi="Century"/>
                <w:color w:val="404040"/>
              </w:rPr>
              <w:t xml:space="preserve"> Insurance Information Center Regulation is published in the 25318 Official Gazzette dated 12.16.2003 and </w:t>
            </w:r>
            <w:smartTag w:uri="urn:schemas-microsoft-com:office:smarttags" w:element="place">
              <w:smartTag w:uri="urn:schemas-microsoft-com:office:smarttags" w:element="PlaceName">
                <w:r w:rsidR="007F4EBD" w:rsidRPr="00A41A00">
                  <w:rPr>
                    <w:rFonts w:ascii="Century" w:hAnsi="Century"/>
                    <w:color w:val="404040"/>
                  </w:rPr>
                  <w:t>Motor</w:t>
                </w:r>
              </w:smartTag>
              <w:r w:rsidR="007F4EBD" w:rsidRPr="00A41A00">
                <w:rPr>
                  <w:rFonts w:ascii="Century" w:hAnsi="Century"/>
                  <w:color w:val="404040"/>
                </w:rPr>
                <w:t xml:space="preserve"> </w:t>
              </w:r>
              <w:smartTag w:uri="urn:schemas-microsoft-com:office:smarttags" w:element="PlaceName">
                <w:smartTag w:uri="urn:schemas-microsoft-com:office:smarttags" w:element="stockticker">
                  <w:r w:rsidR="007F4EBD" w:rsidRPr="00A41A00">
                    <w:rPr>
                      <w:rFonts w:ascii="Century" w:hAnsi="Century"/>
                      <w:color w:val="404040"/>
                    </w:rPr>
                    <w:t>TPL</w:t>
                  </w:r>
                </w:smartTag>
              </w:smartTag>
              <w:r w:rsidR="007F4EBD" w:rsidRPr="00A41A00">
                <w:rPr>
                  <w:rFonts w:ascii="Century" w:hAnsi="Century"/>
                  <w:color w:val="404040"/>
                </w:rPr>
                <w:t xml:space="preserve"> </w:t>
              </w:r>
              <w:smartTag w:uri="urn:schemas-microsoft-com:office:smarttags" w:element="PlaceName">
                <w:r w:rsidR="007F4EBD" w:rsidRPr="00A41A00">
                  <w:rPr>
                    <w:rFonts w:ascii="Century" w:hAnsi="Century"/>
                    <w:color w:val="404040"/>
                  </w:rPr>
                  <w:t>Insurance</w:t>
                </w:r>
              </w:smartTag>
              <w:r w:rsidR="007F4EBD" w:rsidRPr="00A41A00">
                <w:rPr>
                  <w:rFonts w:ascii="Century" w:hAnsi="Century"/>
                  <w:color w:val="404040"/>
                </w:rPr>
                <w:t xml:space="preserve"> </w:t>
              </w:r>
              <w:smartTag w:uri="urn:schemas-microsoft-com:office:smarttags" w:element="PlaceName">
                <w:r w:rsidR="007F4EBD" w:rsidRPr="00A41A00">
                  <w:rPr>
                    <w:rFonts w:ascii="Century" w:hAnsi="Century"/>
                    <w:color w:val="404040"/>
                  </w:rPr>
                  <w:t>Information</w:t>
                </w:r>
              </w:smartTag>
              <w:r w:rsidR="007F4EBD" w:rsidRPr="00A41A00">
                <w:rPr>
                  <w:rFonts w:ascii="Century" w:hAnsi="Century"/>
                  <w:color w:val="404040"/>
                </w:rPr>
                <w:t xml:space="preserve"> </w:t>
              </w:r>
              <w:smartTag w:uri="urn:schemas-microsoft-com:office:smarttags" w:element="PlaceType">
                <w:r w:rsidR="007F4EBD" w:rsidRPr="00A41A00">
                  <w:rPr>
                    <w:rFonts w:ascii="Century" w:hAnsi="Century"/>
                    <w:color w:val="404040"/>
                  </w:rPr>
                  <w:t>Center</w:t>
                </w:r>
              </w:smartTag>
            </w:smartTag>
            <w:r w:rsidR="007F4EBD" w:rsidRPr="00A41A00">
              <w:rPr>
                <w:rFonts w:ascii="Century" w:hAnsi="Century"/>
                <w:color w:val="404040"/>
              </w:rPr>
              <w:t>, shortly TRAMER, is established.</w:t>
            </w:r>
            <w:r w:rsidR="00910EDC" w:rsidRPr="00A41A00">
              <w:rPr>
                <w:rFonts w:ascii="Century" w:hAnsi="Century"/>
                <w:color w:val="404040"/>
              </w:rPr>
              <w:t xml:space="preserve"> At first, only motor TPL insurance was </w:t>
            </w:r>
            <w:r w:rsidR="00E83459" w:rsidRPr="00A41A00">
              <w:rPr>
                <w:rFonts w:ascii="Century" w:hAnsi="Century"/>
                <w:color w:val="404040"/>
              </w:rPr>
              <w:t xml:space="preserve">identified in the Regulation. </w:t>
            </w:r>
            <w:r w:rsidR="00E91288" w:rsidRPr="00A41A00">
              <w:rPr>
                <w:rFonts w:ascii="Century" w:hAnsi="Century"/>
                <w:color w:val="404040"/>
              </w:rPr>
              <w:t xml:space="preserve">Regulation of </w:t>
            </w:r>
            <w:smartTag w:uri="urn:schemas-microsoft-com:office:smarttags" w:element="place">
              <w:smartTag w:uri="urn:schemas-microsoft-com:office:smarttags" w:element="PlaceName">
                <w:r w:rsidR="004909F6" w:rsidRPr="00A41A00">
                  <w:rPr>
                    <w:rFonts w:ascii="Century" w:hAnsi="Century"/>
                    <w:color w:val="404040"/>
                  </w:rPr>
                  <w:t>Auto</w:t>
                </w:r>
              </w:smartTag>
              <w:r w:rsidR="004909F6" w:rsidRPr="00A41A00">
                <w:rPr>
                  <w:rFonts w:ascii="Century" w:hAnsi="Century"/>
                  <w:color w:val="404040"/>
                </w:rPr>
                <w:t xml:space="preserve"> </w:t>
              </w:r>
              <w:smartTag w:uri="urn:schemas-microsoft-com:office:smarttags" w:element="PlaceName">
                <w:r w:rsidR="004909F6" w:rsidRPr="00A41A00">
                  <w:rPr>
                    <w:rFonts w:ascii="Century" w:hAnsi="Century"/>
                    <w:color w:val="404040"/>
                  </w:rPr>
                  <w:t>Insurance</w:t>
                </w:r>
              </w:smartTag>
              <w:r w:rsidR="004909F6" w:rsidRPr="00A41A00">
                <w:rPr>
                  <w:rFonts w:ascii="Century" w:hAnsi="Century"/>
                  <w:color w:val="404040"/>
                </w:rPr>
                <w:t xml:space="preserve"> </w:t>
              </w:r>
              <w:smartTag w:uri="urn:schemas-microsoft-com:office:smarttags" w:element="PlaceName">
                <w:r w:rsidR="00E91288" w:rsidRPr="00A41A00">
                  <w:rPr>
                    <w:rFonts w:ascii="Century" w:hAnsi="Century"/>
                    <w:color w:val="404040"/>
                  </w:rPr>
                  <w:t>Information</w:t>
                </w:r>
              </w:smartTag>
              <w:r w:rsidR="00E91288" w:rsidRPr="00A41A00">
                <w:rPr>
                  <w:rFonts w:ascii="Century" w:hAnsi="Century"/>
                  <w:color w:val="404040"/>
                </w:rPr>
                <w:t xml:space="preserve"> </w:t>
              </w:r>
              <w:smartTag w:uri="urn:schemas-microsoft-com:office:smarttags" w:element="PlaceType">
                <w:r w:rsidR="00E91288" w:rsidRPr="00A41A00">
                  <w:rPr>
                    <w:rFonts w:ascii="Century" w:hAnsi="Century"/>
                    <w:color w:val="404040"/>
                  </w:rPr>
                  <w:t>Center</w:t>
                </w:r>
              </w:smartTag>
            </w:smartTag>
            <w:r w:rsidR="00E91288" w:rsidRPr="00A41A00">
              <w:rPr>
                <w:rFonts w:ascii="Century" w:hAnsi="Century"/>
                <w:color w:val="404040"/>
              </w:rPr>
              <w:t xml:space="preserve"> dated 04.11.2007 counted Motor Insurance, </w:t>
            </w:r>
            <w:r w:rsidR="00E91288" w:rsidRPr="00A41A00">
              <w:rPr>
                <w:rFonts w:ascii="Century" w:hAnsi="Century"/>
                <w:color w:val="404040"/>
                <w:lang w:val="tr-TR" w:eastAsia="tr-TR"/>
              </w:rPr>
              <w:t>Compulsory Passenger Land Transportation Personal Accident Insurance</w:t>
            </w:r>
            <w:r w:rsidR="00F9489B" w:rsidRPr="00A41A00">
              <w:rPr>
                <w:rFonts w:ascii="Century" w:hAnsi="Century"/>
                <w:color w:val="404040"/>
                <w:lang w:val="tr-TR" w:eastAsia="tr-TR"/>
              </w:rPr>
              <w:t xml:space="preserve"> and Compulsory Land Transportation Liability in addition to motor TPL insurance.</w:t>
            </w:r>
          </w:p>
          <w:p w:rsidR="007F4EBD" w:rsidRPr="00A41A00" w:rsidRDefault="007F4EBD" w:rsidP="005362E7">
            <w:pPr>
              <w:jc w:val="both"/>
              <w:rPr>
                <w:rFonts w:ascii="Century" w:hAnsi="Century"/>
                <w:color w:val="404040"/>
                <w:lang w:val="tr-TR"/>
              </w:rPr>
            </w:pPr>
          </w:p>
          <w:p w:rsidR="00463126" w:rsidRDefault="00463126" w:rsidP="00F837CD">
            <w:pPr>
              <w:jc w:val="both"/>
              <w:rPr>
                <w:rFonts w:ascii="Century" w:hAnsi="Century"/>
                <w:color w:val="404040"/>
              </w:rPr>
            </w:pPr>
          </w:p>
          <w:p w:rsidR="00E84642" w:rsidRDefault="00E84642" w:rsidP="00F837CD">
            <w:pPr>
              <w:jc w:val="both"/>
              <w:rPr>
                <w:rFonts w:ascii="Century" w:hAnsi="Century"/>
                <w:color w:val="404040"/>
              </w:rPr>
            </w:pPr>
          </w:p>
          <w:p w:rsidR="00E84642" w:rsidRPr="00A41A00" w:rsidRDefault="00E84642" w:rsidP="00F837CD">
            <w:pPr>
              <w:jc w:val="both"/>
              <w:rPr>
                <w:rFonts w:ascii="Century" w:hAnsi="Century"/>
                <w:color w:val="404040"/>
              </w:rPr>
            </w:pPr>
          </w:p>
          <w:p w:rsidR="00463126" w:rsidRPr="00A41A00" w:rsidRDefault="00463126" w:rsidP="00463126">
            <w:pPr>
              <w:pStyle w:val="NormalWeb"/>
              <w:jc w:val="both"/>
              <w:rPr>
                <w:rFonts w:ascii="Century" w:hAnsi="Century"/>
                <w:color w:val="404040"/>
                <w:lang w:val="en-US" w:eastAsia="en-US"/>
              </w:rPr>
            </w:pPr>
            <w:r w:rsidRPr="00A41A00">
              <w:rPr>
                <w:rFonts w:ascii="Century" w:hAnsi="Century"/>
                <w:color w:val="404040"/>
                <w:lang w:val="en-US" w:eastAsia="en-US"/>
              </w:rPr>
              <w:t xml:space="preserve">All companies which have license to operate in </w:t>
            </w:r>
            <w:smartTag w:uri="urn:schemas-microsoft-com:office:smarttags" w:element="stockticker">
              <w:r w:rsidRPr="00A41A00">
                <w:rPr>
                  <w:rFonts w:ascii="Century" w:hAnsi="Century"/>
                  <w:color w:val="404040"/>
                  <w:lang w:val="en-US" w:eastAsia="en-US"/>
                </w:rPr>
                <w:t>TPL</w:t>
              </w:r>
            </w:smartTag>
            <w:r w:rsidRPr="00A41A00">
              <w:rPr>
                <w:rFonts w:ascii="Century" w:hAnsi="Century"/>
                <w:color w:val="404040"/>
                <w:lang w:val="en-US" w:eastAsia="en-US"/>
              </w:rPr>
              <w:t xml:space="preserve"> branch or Casualty Branch are natural associate of the Center.</w:t>
            </w:r>
          </w:p>
          <w:p w:rsidR="003E0035" w:rsidRPr="00A41A00" w:rsidRDefault="003E0035" w:rsidP="00F837CD">
            <w:pPr>
              <w:jc w:val="both"/>
              <w:rPr>
                <w:rFonts w:ascii="Century" w:hAnsi="Century"/>
                <w:color w:val="404040"/>
              </w:rPr>
            </w:pPr>
          </w:p>
          <w:p w:rsidR="007F4EBD" w:rsidRPr="00A41A00" w:rsidRDefault="007F4EBD" w:rsidP="00F837CD">
            <w:pPr>
              <w:jc w:val="both"/>
              <w:rPr>
                <w:rFonts w:ascii="Century" w:hAnsi="Century"/>
                <w:color w:val="404040"/>
              </w:rPr>
            </w:pPr>
            <w:r w:rsidRPr="00A41A00">
              <w:rPr>
                <w:rFonts w:ascii="Century" w:hAnsi="Century"/>
                <w:color w:val="404040"/>
              </w:rPr>
              <w:t>Basicly, the establisment of TRAMER aims to store confident statistical data, to warrant similarity in applications,</w:t>
            </w:r>
            <w:r w:rsidR="00A3656C" w:rsidRPr="00A41A00">
              <w:rPr>
                <w:rFonts w:ascii="Century" w:hAnsi="Century"/>
                <w:color w:val="404040"/>
              </w:rPr>
              <w:t xml:space="preserve"> </w:t>
            </w:r>
            <w:r w:rsidR="009810FD" w:rsidRPr="00A41A00">
              <w:rPr>
                <w:rFonts w:ascii="Century" w:hAnsi="Century"/>
                <w:color w:val="404040"/>
              </w:rPr>
              <w:t xml:space="preserve">to prevent insurance </w:t>
            </w:r>
            <w:r w:rsidR="00AB1521" w:rsidRPr="00A41A00">
              <w:rPr>
                <w:rFonts w:ascii="Century" w:hAnsi="Century"/>
                <w:color w:val="404040"/>
              </w:rPr>
              <w:t>forgery,</w:t>
            </w:r>
            <w:r w:rsidRPr="00A41A00">
              <w:rPr>
                <w:rFonts w:ascii="Century" w:hAnsi="Century"/>
                <w:color w:val="404040"/>
              </w:rPr>
              <w:t xml:space="preserve"> to increase </w:t>
            </w:r>
            <w:r w:rsidRPr="00A41A00">
              <w:rPr>
                <w:rFonts w:ascii="Century" w:hAnsi="Century"/>
                <w:color w:val="404040"/>
              </w:rPr>
              <w:lastRenderedPageBreak/>
              <w:t xml:space="preserve">confidence in insurance sector, to implement regular and acurate loss payments, to detect uninsured motor vehicles and to increase the insured ratio. </w:t>
            </w:r>
          </w:p>
          <w:p w:rsidR="007F4EBD" w:rsidRDefault="007F4EBD" w:rsidP="00F837CD">
            <w:pPr>
              <w:jc w:val="both"/>
              <w:rPr>
                <w:rFonts w:ascii="Century" w:hAnsi="Century"/>
                <w:color w:val="404040"/>
              </w:rPr>
            </w:pPr>
          </w:p>
          <w:p w:rsidR="00E84642" w:rsidRDefault="00E84642" w:rsidP="00F837CD">
            <w:pPr>
              <w:jc w:val="both"/>
              <w:rPr>
                <w:rFonts w:ascii="Century" w:hAnsi="Century"/>
                <w:color w:val="404040"/>
              </w:rPr>
            </w:pPr>
          </w:p>
          <w:p w:rsidR="00E84642" w:rsidRPr="00A41A00" w:rsidRDefault="00E84642" w:rsidP="00F837CD">
            <w:pPr>
              <w:jc w:val="both"/>
              <w:rPr>
                <w:rFonts w:ascii="Century" w:hAnsi="Century"/>
                <w:color w:val="404040"/>
              </w:rPr>
            </w:pPr>
          </w:p>
          <w:p w:rsidR="007F4EBD" w:rsidRPr="00A41A00" w:rsidRDefault="007F4EBD" w:rsidP="00F837CD">
            <w:pPr>
              <w:jc w:val="both"/>
              <w:rPr>
                <w:rFonts w:ascii="Century" w:hAnsi="Century"/>
                <w:color w:val="404040"/>
              </w:rPr>
            </w:pPr>
            <w:r w:rsidRPr="00A41A00">
              <w:rPr>
                <w:rFonts w:ascii="Century" w:hAnsi="Century"/>
                <w:color w:val="404040"/>
              </w:rPr>
              <w:t>The data collect</w:t>
            </w:r>
            <w:r w:rsidR="00F5095E" w:rsidRPr="00A41A00">
              <w:rPr>
                <w:rFonts w:ascii="Century" w:hAnsi="Century"/>
                <w:color w:val="404040"/>
              </w:rPr>
              <w:t>ed by TRAMER for period 01.01.</w:t>
            </w:r>
            <w:r w:rsidR="00294CA2">
              <w:rPr>
                <w:rFonts w:ascii="Century" w:hAnsi="Century"/>
                <w:color w:val="404040"/>
              </w:rPr>
              <w:t>20</w:t>
            </w:r>
            <w:r w:rsidR="00F5095E" w:rsidRPr="00A41A00">
              <w:rPr>
                <w:rFonts w:ascii="Century" w:hAnsi="Century"/>
                <w:color w:val="404040"/>
              </w:rPr>
              <w:t>07-12.31.</w:t>
            </w:r>
            <w:r w:rsidR="00294CA2">
              <w:rPr>
                <w:rFonts w:ascii="Century" w:hAnsi="Century"/>
                <w:color w:val="404040"/>
              </w:rPr>
              <w:t>20</w:t>
            </w:r>
            <w:r w:rsidR="00F5095E" w:rsidRPr="00A41A00">
              <w:rPr>
                <w:rFonts w:ascii="Century" w:hAnsi="Century"/>
                <w:color w:val="404040"/>
              </w:rPr>
              <w:t>07</w:t>
            </w:r>
            <w:r w:rsidRPr="00A41A00">
              <w:rPr>
                <w:rFonts w:ascii="Century" w:hAnsi="Century"/>
                <w:color w:val="404040"/>
              </w:rPr>
              <w:t xml:space="preserve"> are given below and detailed data in terms of companies are in Table 5</w:t>
            </w:r>
            <w:r w:rsidR="002D03B6" w:rsidRPr="00A41A00">
              <w:rPr>
                <w:rFonts w:ascii="Century" w:hAnsi="Century"/>
                <w:color w:val="404040"/>
              </w:rPr>
              <w:t>1</w:t>
            </w:r>
            <w:r w:rsidRPr="00A41A00">
              <w:rPr>
                <w:rFonts w:ascii="Century" w:hAnsi="Century"/>
                <w:color w:val="404040"/>
              </w:rPr>
              <w:t>.</w:t>
            </w:r>
          </w:p>
          <w:p w:rsidR="007F4EBD" w:rsidRPr="00F837CD" w:rsidRDefault="007F4EBD" w:rsidP="00F837CD">
            <w:pPr>
              <w:jc w:val="both"/>
              <w:rPr>
                <w:rFonts w:ascii="Century" w:hAnsi="Century"/>
                <w:color w:val="1C1C1C"/>
              </w:rPr>
            </w:pPr>
          </w:p>
        </w:tc>
      </w:tr>
      <w:tr w:rsidR="00D86152" w:rsidRPr="00367FA3">
        <w:tc>
          <w:tcPr>
            <w:tcW w:w="9855" w:type="dxa"/>
            <w:gridSpan w:val="5"/>
          </w:tcPr>
          <w:p w:rsidR="003F1860" w:rsidRPr="00F5095E" w:rsidRDefault="003F1860" w:rsidP="00A13177">
            <w:pPr>
              <w:pStyle w:val="ResimYazs"/>
              <w:jc w:val="center"/>
              <w:rPr>
                <w:rFonts w:ascii="Century" w:hAnsi="Century"/>
                <w:lang w:val="tr-TR"/>
              </w:rPr>
            </w:pPr>
            <w:bookmarkStart w:id="138" w:name="_Toc170665572"/>
            <w:r w:rsidRPr="00F5095E">
              <w:rPr>
                <w:rFonts w:ascii="Century" w:hAnsi="Century"/>
                <w:lang w:val="tr-TR"/>
              </w:rPr>
              <w:lastRenderedPageBreak/>
              <w:t xml:space="preserve">Tablo </w:t>
            </w:r>
            <w:r w:rsidR="00D532F8" w:rsidRPr="00F5095E">
              <w:rPr>
                <w:rFonts w:ascii="Century" w:hAnsi="Century"/>
                <w:lang w:val="tr-TR"/>
              </w:rPr>
              <w:t>2.3</w:t>
            </w:r>
            <w:r w:rsidRPr="00F5095E">
              <w:rPr>
                <w:rFonts w:ascii="Century" w:hAnsi="Century"/>
                <w:lang w:val="tr-TR"/>
              </w:rPr>
              <w:noBreakHyphen/>
            </w:r>
            <w:r w:rsidRPr="00F5095E">
              <w:rPr>
                <w:rFonts w:ascii="Century" w:hAnsi="Century"/>
                <w:lang w:val="tr-TR"/>
              </w:rPr>
              <w:fldChar w:fldCharType="begin"/>
            </w:r>
            <w:r w:rsidRPr="00F5095E">
              <w:rPr>
                <w:rFonts w:ascii="Century" w:hAnsi="Century"/>
                <w:lang w:val="tr-TR"/>
              </w:rPr>
              <w:instrText xml:space="preserve"> SEQ Tablo \* ARABIC \s 2 </w:instrText>
            </w:r>
            <w:r w:rsidRPr="00F5095E">
              <w:rPr>
                <w:rFonts w:ascii="Century" w:hAnsi="Century"/>
                <w:lang w:val="tr-TR"/>
              </w:rPr>
              <w:fldChar w:fldCharType="separate"/>
            </w:r>
            <w:r w:rsidR="00DA718E">
              <w:rPr>
                <w:rFonts w:ascii="Century" w:hAnsi="Century"/>
                <w:noProof/>
                <w:lang w:val="tr-TR"/>
              </w:rPr>
              <w:t>1</w:t>
            </w:r>
            <w:r w:rsidRPr="00F5095E">
              <w:rPr>
                <w:rFonts w:ascii="Century" w:hAnsi="Century"/>
                <w:lang w:val="tr-TR"/>
              </w:rPr>
              <w:fldChar w:fldCharType="end"/>
            </w:r>
            <w:r w:rsidRPr="00F5095E">
              <w:rPr>
                <w:rFonts w:ascii="Century" w:hAnsi="Century"/>
                <w:lang w:val="tr-TR"/>
              </w:rPr>
              <w:t xml:space="preserve">; </w:t>
            </w:r>
            <w:r w:rsidRPr="00F5095E">
              <w:rPr>
                <w:rFonts w:ascii="Century" w:hAnsi="Century"/>
                <w:bCs w:val="0"/>
                <w:lang w:val="tr-TR"/>
              </w:rPr>
              <w:t xml:space="preserve">Genel Göstergeler - </w:t>
            </w:r>
            <w:r w:rsidRPr="00F5095E">
              <w:rPr>
                <w:rFonts w:ascii="Century" w:hAnsi="Century"/>
                <w:b w:val="0"/>
                <w:i/>
                <w:iCs/>
                <w:lang w:val="tr-TR"/>
              </w:rPr>
              <w:t>General Indicators</w:t>
            </w:r>
            <w:bookmarkEnd w:id="138"/>
          </w:p>
          <w:p w:rsidR="00041141" w:rsidRPr="00463126" w:rsidRDefault="00463126" w:rsidP="00A13177">
            <w:pPr>
              <w:jc w:val="center"/>
              <w:rPr>
                <w:rFonts w:ascii="Century" w:hAnsi="Century"/>
                <w:highlight w:val="yellow"/>
                <w:lang w:val="tr-TR"/>
              </w:rPr>
            </w:pPr>
            <w:r w:rsidRPr="00463126">
              <w:rPr>
                <w:rFonts w:ascii="Century" w:hAnsi="Century"/>
                <w:lang w:val="tr-TR"/>
              </w:rPr>
              <w:pict>
                <v:shape id="_x0000_i1090" type="#_x0000_t75" style="width:345.75pt;height:113.25pt">
                  <v:imagedata r:id="rId80" o:title=""/>
                </v:shape>
              </w:pict>
            </w:r>
          </w:p>
        </w:tc>
      </w:tr>
      <w:tr w:rsidR="00D86152" w:rsidRPr="00367FA3">
        <w:tc>
          <w:tcPr>
            <w:tcW w:w="4815" w:type="dxa"/>
            <w:gridSpan w:val="2"/>
          </w:tcPr>
          <w:p w:rsidR="00D86152" w:rsidRPr="00367FA3" w:rsidRDefault="00D86152"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7F4EBD" w:rsidRPr="00367FA3" w:rsidRDefault="007F4EBD" w:rsidP="008D17FE">
            <w:pPr>
              <w:rPr>
                <w:rFonts w:ascii="Century" w:hAnsi="Century"/>
                <w:highlight w:val="yellow"/>
                <w:lang w:val="tr-TR"/>
              </w:rPr>
            </w:pPr>
          </w:p>
        </w:tc>
      </w:tr>
      <w:tr w:rsidR="00D86152" w:rsidRPr="00367FA3">
        <w:tc>
          <w:tcPr>
            <w:tcW w:w="9855" w:type="dxa"/>
            <w:gridSpan w:val="5"/>
          </w:tcPr>
          <w:p w:rsidR="007C4124" w:rsidRPr="00367FA3" w:rsidRDefault="007C4124" w:rsidP="008D17FE">
            <w:pPr>
              <w:rPr>
                <w:rFonts w:ascii="Century" w:hAnsi="Century"/>
                <w:highlight w:val="yellow"/>
                <w:lang w:val="tr-TR"/>
              </w:rPr>
            </w:pPr>
          </w:p>
        </w:tc>
      </w:tr>
      <w:tr w:rsidR="00D86152" w:rsidRPr="00367FA3">
        <w:tc>
          <w:tcPr>
            <w:tcW w:w="4815" w:type="dxa"/>
            <w:gridSpan w:val="2"/>
          </w:tcPr>
          <w:p w:rsidR="00321559" w:rsidRPr="003F3CCA" w:rsidRDefault="003F3CCA" w:rsidP="00981098">
            <w:pPr>
              <w:pStyle w:val="Balk2"/>
              <w:keepNext w:val="0"/>
              <w:numPr>
                <w:ilvl w:val="1"/>
                <w:numId w:val="7"/>
              </w:numPr>
              <w:spacing w:before="0" w:after="0"/>
              <w:ind w:left="0" w:firstLine="0"/>
              <w:jc w:val="both"/>
              <w:rPr>
                <w:rFonts w:ascii="Century" w:hAnsi="Century"/>
                <w:i w:val="0"/>
                <w:sz w:val="24"/>
                <w:szCs w:val="24"/>
                <w:lang w:val="tr-TR"/>
              </w:rPr>
            </w:pPr>
            <w:bookmarkStart w:id="139" w:name="_Toc198287715"/>
            <w:bookmarkStart w:id="140" w:name="_Toc199251262"/>
            <w:r w:rsidRPr="003F3CCA">
              <w:rPr>
                <w:rFonts w:ascii="Century" w:hAnsi="Century"/>
                <w:i w:val="0"/>
                <w:sz w:val="24"/>
                <w:szCs w:val="24"/>
                <w:lang w:val="tr-TR"/>
              </w:rPr>
              <w:t>Güvence Hesabı</w:t>
            </w:r>
            <w:bookmarkEnd w:id="139"/>
            <w:bookmarkEnd w:id="140"/>
          </w:p>
          <w:p w:rsidR="00321559" w:rsidRPr="00367FA3" w:rsidRDefault="00321559" w:rsidP="008D17FE">
            <w:pPr>
              <w:jc w:val="both"/>
              <w:rPr>
                <w:rFonts w:ascii="Century" w:hAnsi="Century"/>
                <w:highlight w:val="yellow"/>
                <w:lang w:val="tr-TR"/>
              </w:rPr>
            </w:pPr>
          </w:p>
          <w:p w:rsidR="00321559" w:rsidRDefault="00321559" w:rsidP="008D17FE">
            <w:pPr>
              <w:jc w:val="both"/>
              <w:rPr>
                <w:rFonts w:ascii="Century" w:hAnsi="Century"/>
                <w:lang w:val="tr-TR" w:eastAsia="tr-TR"/>
              </w:rPr>
            </w:pPr>
            <w:r w:rsidRPr="00BD4C4C">
              <w:rPr>
                <w:rFonts w:ascii="Century" w:hAnsi="Century"/>
                <w:lang w:val="tr-TR" w:eastAsia="tr-TR"/>
              </w:rPr>
              <w:t>18.10.1983 tarih ve 18195 sayılı Resmi Gazete</w:t>
            </w:r>
            <w:r w:rsidR="001118AE" w:rsidRPr="00BD4C4C">
              <w:rPr>
                <w:rFonts w:ascii="Century" w:hAnsi="Century"/>
                <w:lang w:val="tr-TR" w:eastAsia="tr-TR"/>
              </w:rPr>
              <w:t>’</w:t>
            </w:r>
            <w:r w:rsidRPr="00BD4C4C">
              <w:rPr>
                <w:rFonts w:ascii="Century" w:hAnsi="Century"/>
                <w:lang w:val="tr-TR" w:eastAsia="tr-TR"/>
              </w:rPr>
              <w:t>de yayımlanarak yürü</w:t>
            </w:r>
            <w:r w:rsidR="007B1D76">
              <w:rPr>
                <w:rFonts w:ascii="Century" w:hAnsi="Century"/>
                <w:lang w:val="tr-TR" w:eastAsia="tr-TR"/>
              </w:rPr>
              <w:t xml:space="preserve">rlüğe giren </w:t>
            </w:r>
            <w:r w:rsidRPr="00BD4C4C">
              <w:rPr>
                <w:rFonts w:ascii="Century" w:hAnsi="Century"/>
                <w:lang w:val="tr-TR" w:eastAsia="tr-TR"/>
              </w:rPr>
              <w:t>2918 sayılı Karayolları Trafik  Kanunu</w:t>
            </w:r>
            <w:r w:rsidR="001118AE" w:rsidRPr="00BD4C4C">
              <w:rPr>
                <w:rFonts w:ascii="Century" w:hAnsi="Century"/>
                <w:lang w:val="tr-TR" w:eastAsia="tr-TR"/>
              </w:rPr>
              <w:t>’</w:t>
            </w:r>
            <w:r w:rsidRPr="00BD4C4C">
              <w:rPr>
                <w:rFonts w:ascii="Century" w:hAnsi="Century"/>
                <w:lang w:val="tr-TR" w:eastAsia="tr-TR"/>
              </w:rPr>
              <w:t xml:space="preserve">nun </w:t>
            </w:r>
            <w:r w:rsidR="00173EB0" w:rsidRPr="00BD4C4C">
              <w:rPr>
                <w:rFonts w:ascii="Century" w:hAnsi="Century"/>
                <w:lang w:val="tr-TR" w:eastAsia="tr-TR"/>
              </w:rPr>
              <w:t xml:space="preserve">(KTK) </w:t>
            </w:r>
            <w:r w:rsidRPr="00BD4C4C">
              <w:rPr>
                <w:rFonts w:ascii="Century" w:hAnsi="Century"/>
                <w:lang w:val="tr-TR" w:eastAsia="tr-TR"/>
              </w:rPr>
              <w:t>108’inci maddesine istinaden “Garanti Fonu” ismiyle kurul</w:t>
            </w:r>
            <w:r w:rsidR="00646BA3">
              <w:rPr>
                <w:rFonts w:ascii="Century" w:hAnsi="Century"/>
                <w:lang w:val="tr-TR" w:eastAsia="tr-TR"/>
              </w:rPr>
              <w:t>an ve</w:t>
            </w:r>
            <w:r w:rsidRPr="00BD4C4C">
              <w:rPr>
                <w:rFonts w:ascii="Century" w:hAnsi="Century"/>
                <w:lang w:val="tr-TR" w:eastAsia="tr-TR"/>
              </w:rPr>
              <w:t xml:space="preserve"> 03.03.2001 tarih ve 24335 </w:t>
            </w:r>
            <w:r w:rsidR="001118AE" w:rsidRPr="00BD4C4C">
              <w:rPr>
                <w:rFonts w:ascii="Century" w:hAnsi="Century"/>
                <w:lang w:val="tr-TR" w:eastAsia="tr-TR"/>
              </w:rPr>
              <w:t xml:space="preserve">mükerrer </w:t>
            </w:r>
            <w:r w:rsidRPr="00BD4C4C">
              <w:rPr>
                <w:rFonts w:ascii="Century" w:hAnsi="Century"/>
                <w:lang w:val="tr-TR" w:eastAsia="tr-TR"/>
              </w:rPr>
              <w:t>sayılı Resmi Gazete</w:t>
            </w:r>
            <w:r w:rsidR="001118AE" w:rsidRPr="00BD4C4C">
              <w:rPr>
                <w:rFonts w:ascii="Century" w:hAnsi="Century"/>
                <w:lang w:val="tr-TR" w:eastAsia="tr-TR"/>
              </w:rPr>
              <w:t>’</w:t>
            </w:r>
            <w:r w:rsidRPr="00BD4C4C">
              <w:rPr>
                <w:rFonts w:ascii="Century" w:hAnsi="Century"/>
                <w:lang w:val="tr-TR" w:eastAsia="tr-TR"/>
              </w:rPr>
              <w:t>de yayımlanan 4629 sayılı Bazı Fonların Tasfiyesi Hakkındaki</w:t>
            </w:r>
            <w:r w:rsidR="001118AE" w:rsidRPr="00BD4C4C">
              <w:rPr>
                <w:rFonts w:ascii="Century" w:hAnsi="Century"/>
                <w:lang w:val="tr-TR" w:eastAsia="tr-TR"/>
              </w:rPr>
              <w:t xml:space="preserve"> Kanunla </w:t>
            </w:r>
            <w:r w:rsidRPr="00BD4C4C">
              <w:rPr>
                <w:rFonts w:ascii="Century" w:hAnsi="Century"/>
                <w:lang w:val="tr-TR" w:eastAsia="tr-TR"/>
              </w:rPr>
              <w:t xml:space="preserve">“Karayolları Trafik </w:t>
            </w:r>
            <w:r w:rsidRPr="004F7395">
              <w:rPr>
                <w:rFonts w:ascii="Century" w:hAnsi="Century"/>
                <w:lang w:val="tr-TR" w:eastAsia="tr-TR"/>
              </w:rPr>
              <w:t xml:space="preserve">Garanti Sigortası </w:t>
            </w:r>
            <w:r w:rsidR="003B28F0" w:rsidRPr="004F7395">
              <w:rPr>
                <w:rFonts w:ascii="Century" w:hAnsi="Century"/>
                <w:lang w:val="tr-TR" w:eastAsia="tr-TR"/>
              </w:rPr>
              <w:t xml:space="preserve">Hesabı” </w:t>
            </w:r>
            <w:r w:rsidR="00646BA3">
              <w:rPr>
                <w:rFonts w:ascii="Century" w:hAnsi="Century"/>
                <w:lang w:val="tr-TR" w:eastAsia="tr-TR"/>
              </w:rPr>
              <w:t>olarak değiştirilen Hesap,</w:t>
            </w:r>
            <w:r w:rsidR="003B28F0" w:rsidRPr="004F7395">
              <w:rPr>
                <w:rFonts w:ascii="Century" w:hAnsi="Century"/>
                <w:lang w:val="tr-TR" w:eastAsia="tr-TR"/>
              </w:rPr>
              <w:t xml:space="preserve"> 5684 sayılı Sigortacılık Kanunu</w:t>
            </w:r>
            <w:r w:rsidR="00646BA3">
              <w:rPr>
                <w:rFonts w:ascii="Century" w:hAnsi="Century"/>
                <w:lang w:val="tr-TR" w:eastAsia="tr-TR"/>
              </w:rPr>
              <w:t xml:space="preserve"> ile kapsamı genişletilmiş ve </w:t>
            </w:r>
            <w:r w:rsidR="003B28F0" w:rsidRPr="004F7395">
              <w:rPr>
                <w:rFonts w:ascii="Century" w:hAnsi="Century"/>
                <w:lang w:val="tr-TR" w:eastAsia="tr-TR"/>
              </w:rPr>
              <w:t xml:space="preserve">“Güvence Hesabı” </w:t>
            </w:r>
            <w:r w:rsidR="00646BA3">
              <w:rPr>
                <w:rFonts w:ascii="Century" w:hAnsi="Century"/>
                <w:lang w:val="tr-TR" w:eastAsia="tr-TR"/>
              </w:rPr>
              <w:t>adını almıştır.</w:t>
            </w:r>
          </w:p>
          <w:p w:rsidR="00350749" w:rsidRDefault="00350749" w:rsidP="00646BA3">
            <w:pPr>
              <w:jc w:val="both"/>
              <w:rPr>
                <w:rFonts w:ascii="Century" w:hAnsi="Century"/>
                <w:lang w:val="tr-TR" w:eastAsia="tr-TR"/>
              </w:rPr>
            </w:pPr>
          </w:p>
          <w:p w:rsidR="00646BA3" w:rsidRDefault="00646BA3" w:rsidP="00646BA3">
            <w:pPr>
              <w:jc w:val="both"/>
              <w:rPr>
                <w:rFonts w:ascii="Century" w:hAnsi="Century"/>
                <w:lang w:val="tr-TR" w:eastAsia="tr-TR"/>
              </w:rPr>
            </w:pPr>
            <w:r w:rsidRPr="00646BA3">
              <w:rPr>
                <w:rFonts w:ascii="Century" w:hAnsi="Century"/>
                <w:lang w:val="tr-TR" w:eastAsia="tr-TR"/>
              </w:rPr>
              <w:t>Güvence Hesabı kapsamındaki sigortalar;</w:t>
            </w:r>
          </w:p>
          <w:p w:rsidR="00E70D98" w:rsidRPr="00646BA3" w:rsidRDefault="00E70D98" w:rsidP="00646BA3">
            <w:pPr>
              <w:jc w:val="both"/>
              <w:rPr>
                <w:rFonts w:ascii="Century" w:hAnsi="Century"/>
                <w:lang w:val="tr-TR" w:eastAsia="tr-TR"/>
              </w:rPr>
            </w:pPr>
          </w:p>
          <w:p w:rsidR="00646BA3" w:rsidRP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t>Karayollar Motorlu Araçlar Zorunlu Mali Sorumluluk Sigortası</w:t>
            </w:r>
          </w:p>
          <w:p w:rsidR="00646BA3" w:rsidRP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t>Zorunlu Karayolu Taşımacılık Mali Sorumluluk Sigortası</w:t>
            </w:r>
          </w:p>
          <w:p w:rsidR="00646BA3" w:rsidRP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lastRenderedPageBreak/>
              <w:t>Karayolu Yolcu Taşımacılığı Zorunlu Koltuk Ferdi Kaza Sigortası</w:t>
            </w:r>
          </w:p>
          <w:p w:rsidR="00646BA3" w:rsidRPr="00646BA3" w:rsidRDefault="00646BA3" w:rsidP="00D15063">
            <w:pPr>
              <w:numPr>
                <w:ilvl w:val="0"/>
                <w:numId w:val="24"/>
              </w:numPr>
              <w:tabs>
                <w:tab w:val="clear" w:pos="720"/>
                <w:tab w:val="num" w:pos="252"/>
              </w:tabs>
              <w:ind w:left="252" w:hanging="252"/>
              <w:jc w:val="both"/>
              <w:rPr>
                <w:rFonts w:ascii="Century" w:hAnsi="Century"/>
                <w:lang w:val="tr-TR" w:eastAsia="tr-TR"/>
              </w:rPr>
            </w:pPr>
            <w:r w:rsidRPr="00646BA3">
              <w:rPr>
                <w:rFonts w:ascii="Century" w:hAnsi="Century"/>
                <w:lang w:val="tr-TR" w:eastAsia="tr-TR"/>
              </w:rPr>
              <w:t>Tüpgaz Zorunlu Sorumluluk Sigortası</w:t>
            </w:r>
          </w:p>
          <w:p w:rsidR="004F7395" w:rsidRDefault="00646BA3" w:rsidP="00646BA3">
            <w:pPr>
              <w:jc w:val="both"/>
              <w:rPr>
                <w:rFonts w:ascii="Century" w:hAnsi="Century"/>
                <w:lang w:val="tr-TR" w:eastAsia="tr-TR"/>
              </w:rPr>
            </w:pPr>
            <w:r>
              <w:rPr>
                <w:rFonts w:ascii="Century" w:hAnsi="Century"/>
                <w:lang w:val="tr-TR" w:eastAsia="tr-TR"/>
              </w:rPr>
              <w:t xml:space="preserve">    </w:t>
            </w:r>
            <w:r w:rsidRPr="00646BA3">
              <w:rPr>
                <w:rFonts w:ascii="Century" w:hAnsi="Century"/>
                <w:lang w:val="tr-TR" w:eastAsia="tr-TR"/>
              </w:rPr>
              <w:t>Yeşil Kart Sigortası</w:t>
            </w:r>
          </w:p>
          <w:p w:rsidR="00646BA3" w:rsidRDefault="00646BA3" w:rsidP="00646BA3">
            <w:pPr>
              <w:jc w:val="both"/>
              <w:rPr>
                <w:rFonts w:ascii="Century" w:hAnsi="Century"/>
                <w:highlight w:val="yellow"/>
                <w:lang w:val="tr-TR" w:eastAsia="tr-TR"/>
              </w:rPr>
            </w:pPr>
          </w:p>
          <w:p w:rsidR="00981098" w:rsidRDefault="00981098" w:rsidP="00646BA3">
            <w:pPr>
              <w:jc w:val="both"/>
              <w:rPr>
                <w:rFonts w:ascii="Century" w:hAnsi="Century"/>
                <w:highlight w:val="yellow"/>
                <w:lang w:val="tr-TR" w:eastAsia="tr-TR"/>
              </w:rPr>
            </w:pPr>
          </w:p>
          <w:p w:rsidR="00A1755E" w:rsidRPr="00951476" w:rsidRDefault="00140EE2" w:rsidP="008D17FE">
            <w:pPr>
              <w:jc w:val="both"/>
              <w:rPr>
                <w:rFonts w:ascii="Century" w:hAnsi="Century"/>
                <w:lang w:val="tr-TR" w:eastAsia="tr-TR"/>
              </w:rPr>
            </w:pPr>
            <w:r w:rsidRPr="00951476">
              <w:rPr>
                <w:rFonts w:ascii="Century" w:hAnsi="Century"/>
                <w:lang w:val="tr-TR" w:eastAsia="tr-TR"/>
              </w:rPr>
              <w:t>Güvence Hesabı</w:t>
            </w:r>
            <w:r w:rsidR="00F52F7B" w:rsidRPr="00951476">
              <w:rPr>
                <w:rFonts w:ascii="Century" w:hAnsi="Century"/>
                <w:lang w:val="tr-TR" w:eastAsia="tr-TR"/>
              </w:rPr>
              <w:t xml:space="preserve">, </w:t>
            </w:r>
            <w:r w:rsidRPr="00951476">
              <w:rPr>
                <w:rFonts w:ascii="Century" w:hAnsi="Century"/>
                <w:lang w:val="tr-TR" w:eastAsia="tr-TR"/>
              </w:rPr>
              <w:t xml:space="preserve">Hesap Yönetim Komitesi tarafından yönetilir ve Hesap Yönetim Komitesi Başkanı tarafından temsil edilir. </w:t>
            </w:r>
            <w:r w:rsidR="00321559" w:rsidRPr="00951476">
              <w:rPr>
                <w:rFonts w:ascii="Century" w:hAnsi="Century"/>
                <w:lang w:val="tr-TR" w:eastAsia="tr-TR"/>
              </w:rPr>
              <w:t xml:space="preserve"> </w:t>
            </w:r>
          </w:p>
          <w:p w:rsidR="00951476" w:rsidRDefault="00951476" w:rsidP="008D17FE">
            <w:pPr>
              <w:jc w:val="both"/>
              <w:rPr>
                <w:rFonts w:ascii="Century" w:hAnsi="Century"/>
                <w:lang w:val="tr-TR" w:eastAsia="tr-TR"/>
              </w:rPr>
            </w:pPr>
          </w:p>
          <w:p w:rsidR="00B75BA4" w:rsidRPr="00646BA3" w:rsidRDefault="00B75BA4" w:rsidP="008D17FE">
            <w:pPr>
              <w:jc w:val="both"/>
              <w:rPr>
                <w:rFonts w:ascii="Century" w:hAnsi="Century"/>
                <w:lang w:val="tr-TR" w:eastAsia="tr-TR"/>
              </w:rPr>
            </w:pPr>
            <w:r w:rsidRPr="00646BA3">
              <w:rPr>
                <w:rFonts w:ascii="Century" w:hAnsi="Century"/>
                <w:lang w:val="tr-TR" w:eastAsia="tr-TR"/>
              </w:rPr>
              <w:t>Hesap;</w:t>
            </w:r>
          </w:p>
          <w:p w:rsidR="00B75BA4" w:rsidRPr="00646BA3" w:rsidRDefault="00B75BA4" w:rsidP="008D17FE">
            <w:pPr>
              <w:jc w:val="both"/>
              <w:rPr>
                <w:rFonts w:ascii="Century" w:hAnsi="Century"/>
                <w:lang w:val="tr-TR" w:eastAsia="tr-TR"/>
              </w:rPr>
            </w:pPr>
          </w:p>
          <w:p w:rsidR="00B75BA4" w:rsidRPr="00646BA3"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Sigortalının tespit edilememesi durumunda kişiye gelen bedensel zararları,</w:t>
            </w:r>
          </w:p>
          <w:p w:rsidR="00B75BA4" w:rsidRPr="00646BA3"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Rizikonun meydana geldiği tarihte geçerli olan teminat tutarları dâhilinde sigortasını yaptırmamış olanların neden olduğu bedensel zararları,</w:t>
            </w:r>
          </w:p>
          <w:p w:rsidR="00B75BA4" w:rsidRPr="00646BA3"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Zorunlu sigorta teminat limitleri ile sigorta poliçesinde belirtilen teminat arasındaki fark kadar ödenecek bedensel tazminat tutarlarını,</w:t>
            </w:r>
          </w:p>
          <w:p w:rsidR="00B75BA4" w:rsidRPr="00646BA3"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Sigorta şirketinin malî bünye zaafiyeti nedeniyle sürekli olarak bütün branşlarda ruhsatlarının iptal edilmesi ya da iflası halinde (Güvence Hesabı kapsamında kalan Zorunlu Sigortalar ile sınırlı olarak) ödemekle yükümlü olduğu</w:t>
            </w:r>
            <w:r w:rsidRPr="00C43A16">
              <w:rPr>
                <w:lang w:val="tr-TR"/>
              </w:rPr>
              <w:t xml:space="preserve"> </w:t>
            </w:r>
            <w:r w:rsidRPr="00646BA3">
              <w:rPr>
                <w:rFonts w:ascii="Century" w:hAnsi="Century"/>
                <w:lang w:val="tr-TR" w:eastAsia="tr-TR"/>
              </w:rPr>
              <w:t>maddi ve bedensel zararları,</w:t>
            </w:r>
          </w:p>
          <w:p w:rsidR="00B75BA4" w:rsidRPr="00646BA3" w:rsidRDefault="00B75BA4" w:rsidP="00D15063">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Çalınmış veya gasp edilmiş bir aracın karıştığı kazada,13/10/1983 tarihli ve 2918 sayılı Karayolları Trafik Kanunu uyarınca işletenin sorumlu tutulmadığı hallerde, kişiye gelen bedensel zararları,</w:t>
            </w:r>
          </w:p>
          <w:p w:rsidR="00B75BA4" w:rsidRDefault="00B75BA4" w:rsidP="00E84642">
            <w:pPr>
              <w:numPr>
                <w:ilvl w:val="0"/>
                <w:numId w:val="23"/>
              </w:numPr>
              <w:tabs>
                <w:tab w:val="clear" w:pos="720"/>
              </w:tabs>
              <w:ind w:left="252" w:hanging="252"/>
              <w:jc w:val="both"/>
              <w:rPr>
                <w:rFonts w:ascii="Century" w:hAnsi="Century"/>
                <w:lang w:val="tr-TR" w:eastAsia="tr-TR"/>
              </w:rPr>
            </w:pPr>
            <w:r w:rsidRPr="00646BA3">
              <w:rPr>
                <w:rFonts w:ascii="Century" w:hAnsi="Century"/>
                <w:lang w:val="tr-TR" w:eastAsia="tr-TR"/>
              </w:rPr>
              <w:t>Yeşil Kart Sigortası kapsamında Türkiye sınırları içinde meydana gelen zararlardan dolayı Büroca tekemmül ettirilen hasar dosyalarının tazminat tutarlarını</w:t>
            </w:r>
            <w:r w:rsidR="00E84642">
              <w:rPr>
                <w:rFonts w:ascii="Century" w:hAnsi="Century"/>
                <w:lang w:val="tr-TR" w:eastAsia="tr-TR"/>
              </w:rPr>
              <w:t xml:space="preserve"> </w:t>
            </w:r>
            <w:r w:rsidR="00B617A7" w:rsidRPr="00646BA3">
              <w:rPr>
                <w:rFonts w:ascii="Century" w:hAnsi="Century"/>
                <w:lang w:val="tr-TR" w:eastAsia="tr-TR"/>
              </w:rPr>
              <w:t>ö</w:t>
            </w:r>
            <w:r w:rsidRPr="00646BA3">
              <w:rPr>
                <w:rFonts w:ascii="Century" w:hAnsi="Century"/>
                <w:lang w:val="tr-TR" w:eastAsia="tr-TR"/>
              </w:rPr>
              <w:t>demekle yükümlü tutulmuştur.</w:t>
            </w:r>
          </w:p>
          <w:p w:rsidR="002F7215" w:rsidRPr="00981098" w:rsidRDefault="000D79CE" w:rsidP="00981098">
            <w:pPr>
              <w:jc w:val="both"/>
              <w:rPr>
                <w:rFonts w:ascii="Century" w:hAnsi="Century"/>
                <w:lang w:val="tr-TR"/>
              </w:rPr>
            </w:pPr>
            <w:r w:rsidRPr="000D79CE">
              <w:rPr>
                <w:rFonts w:ascii="Century" w:hAnsi="Century"/>
                <w:lang w:val="tr-TR"/>
              </w:rPr>
              <w:t>2007</w:t>
            </w:r>
            <w:r w:rsidR="00321559" w:rsidRPr="000D79CE">
              <w:rPr>
                <w:rFonts w:ascii="Century" w:hAnsi="Century"/>
                <w:lang w:val="tr-TR"/>
              </w:rPr>
              <w:t xml:space="preserve"> yılında Hesap tarafından ödenen tazminatlar, ödeme sebebine göre ş</w:t>
            </w:r>
            <w:r w:rsidR="0095408E">
              <w:rPr>
                <w:rFonts w:ascii="Century" w:hAnsi="Century"/>
                <w:lang w:val="tr-TR"/>
              </w:rPr>
              <w:t>öyledir;</w:t>
            </w: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981EDA" w:rsidRPr="00A41A00" w:rsidRDefault="00325A72" w:rsidP="001118AE">
            <w:pPr>
              <w:ind w:left="601" w:hanging="540"/>
              <w:jc w:val="both"/>
              <w:rPr>
                <w:rFonts w:ascii="Century" w:hAnsi="Century"/>
                <w:b/>
                <w:color w:val="404040"/>
              </w:rPr>
            </w:pPr>
            <w:r w:rsidRPr="005440AA">
              <w:rPr>
                <w:rFonts w:ascii="Century" w:hAnsi="Century"/>
                <w:b/>
                <w:color w:val="1C1C1C"/>
              </w:rPr>
              <w:t>2</w:t>
            </w:r>
            <w:r w:rsidRPr="00A41A00">
              <w:rPr>
                <w:rFonts w:ascii="Century" w:hAnsi="Century"/>
                <w:b/>
                <w:color w:val="404040"/>
              </w:rPr>
              <w:t xml:space="preserve">.4. </w:t>
            </w:r>
            <w:r w:rsidR="005440AA" w:rsidRPr="00A41A00">
              <w:rPr>
                <w:rFonts w:ascii="Century" w:hAnsi="Century"/>
                <w:b/>
                <w:color w:val="404040"/>
              </w:rPr>
              <w:t>Assurance Account</w:t>
            </w:r>
          </w:p>
          <w:p w:rsidR="007F4EBD" w:rsidRPr="00A41A00" w:rsidRDefault="007F4EBD" w:rsidP="008D17FE">
            <w:pPr>
              <w:rPr>
                <w:rFonts w:ascii="Century" w:hAnsi="Century"/>
                <w:b/>
                <w:color w:val="404040"/>
                <w:highlight w:val="yellow"/>
                <w:lang w:val="tr-TR"/>
              </w:rPr>
            </w:pPr>
          </w:p>
          <w:p w:rsidR="00981EDA" w:rsidRPr="00A41A00" w:rsidRDefault="003B28F0" w:rsidP="00981EDA">
            <w:pPr>
              <w:jc w:val="both"/>
              <w:rPr>
                <w:rFonts w:ascii="Century" w:hAnsi="Century"/>
                <w:color w:val="404040"/>
              </w:rPr>
            </w:pPr>
            <w:r w:rsidRPr="00A41A00">
              <w:rPr>
                <w:rFonts w:ascii="Century" w:hAnsi="Century"/>
                <w:color w:val="404040"/>
              </w:rPr>
              <w:t>Assurance Account</w:t>
            </w:r>
            <w:r w:rsidR="00981EDA" w:rsidRPr="00A41A00">
              <w:rPr>
                <w:rFonts w:ascii="Century" w:hAnsi="Century"/>
                <w:color w:val="404040"/>
              </w:rPr>
              <w:t xml:space="preserve"> is established due to article 108 of Highways Traffic Code numbered 2918 published in 18195 Official Gazette dated 10.18.1983 with the name of “Guarantee Fund” and is updated with the name “Traffic Guarantee Insurance Account” due to Law Liquidation of Funds numbered 4629 w</w:t>
            </w:r>
            <w:r w:rsidR="001642EB" w:rsidRPr="00A41A00">
              <w:rPr>
                <w:rFonts w:ascii="Century" w:hAnsi="Century"/>
                <w:color w:val="404040"/>
              </w:rPr>
              <w:t xml:space="preserve">hich is published in the 24335 </w:t>
            </w:r>
            <w:r w:rsidR="00981EDA" w:rsidRPr="00A41A00">
              <w:rPr>
                <w:rFonts w:ascii="Century" w:hAnsi="Century"/>
                <w:color w:val="404040"/>
              </w:rPr>
              <w:t>Official Gazette dated 03.03.2001.</w:t>
            </w:r>
            <w:r w:rsidR="0017349F" w:rsidRPr="00A41A00">
              <w:rPr>
                <w:rFonts w:ascii="Century" w:hAnsi="Century"/>
                <w:color w:val="404040"/>
              </w:rPr>
              <w:t xml:space="preserve"> Insurance Law numbered 5684, expanded the scope of the Account and rename it as Assurance Account.</w:t>
            </w:r>
          </w:p>
          <w:p w:rsidR="00981EDA" w:rsidRPr="00A41A00" w:rsidRDefault="00981EDA" w:rsidP="008D17FE">
            <w:pPr>
              <w:rPr>
                <w:rFonts w:ascii="Century" w:hAnsi="Century"/>
                <w:color w:val="404040"/>
                <w:lang w:val="tr-TR"/>
              </w:rPr>
            </w:pPr>
          </w:p>
          <w:p w:rsidR="00981EDA" w:rsidRPr="00A41A00" w:rsidRDefault="00981EDA" w:rsidP="008D17FE">
            <w:pPr>
              <w:rPr>
                <w:rFonts w:ascii="Century" w:hAnsi="Century"/>
                <w:color w:val="404040"/>
                <w:lang w:val="tr-TR"/>
              </w:rPr>
            </w:pPr>
          </w:p>
          <w:p w:rsidR="003B28F0" w:rsidRPr="00A41A00" w:rsidRDefault="00C07D98" w:rsidP="00F71252">
            <w:pPr>
              <w:jc w:val="both"/>
              <w:rPr>
                <w:rFonts w:ascii="Century" w:hAnsi="Century"/>
                <w:color w:val="404040"/>
              </w:rPr>
            </w:pPr>
            <w:r w:rsidRPr="00A41A00">
              <w:rPr>
                <w:rFonts w:ascii="Century" w:hAnsi="Century"/>
                <w:color w:val="404040"/>
              </w:rPr>
              <w:t>Branches enclosed in Assurance Account;</w:t>
            </w:r>
          </w:p>
          <w:p w:rsidR="00646BA3" w:rsidRDefault="00646BA3" w:rsidP="00646BA3">
            <w:pPr>
              <w:rPr>
                <w:rFonts w:ascii="Century" w:hAnsi="Century"/>
                <w:color w:val="404040"/>
              </w:rPr>
            </w:pPr>
          </w:p>
          <w:p w:rsidR="00E70D98" w:rsidRPr="00A41A00" w:rsidRDefault="00E70D98" w:rsidP="00646BA3">
            <w:pPr>
              <w:rPr>
                <w:rFonts w:ascii="Century" w:hAnsi="Century"/>
                <w:color w:val="404040"/>
              </w:rPr>
            </w:pPr>
          </w:p>
          <w:p w:rsidR="00646BA3" w:rsidRDefault="00646BA3" w:rsidP="008D2CF7">
            <w:pPr>
              <w:numPr>
                <w:ilvl w:val="0"/>
                <w:numId w:val="27"/>
              </w:numPr>
              <w:tabs>
                <w:tab w:val="clear" w:pos="720"/>
                <w:tab w:val="num" w:pos="421"/>
              </w:tabs>
              <w:ind w:hanging="720"/>
              <w:jc w:val="both"/>
              <w:rPr>
                <w:rFonts w:ascii="Century" w:hAnsi="Century"/>
                <w:color w:val="404040"/>
                <w:lang w:val="tr-TR" w:eastAsia="tr-TR"/>
              </w:rPr>
            </w:pPr>
            <w:r w:rsidRPr="00A41A00">
              <w:rPr>
                <w:rFonts w:ascii="Century" w:hAnsi="Century"/>
                <w:color w:val="404040"/>
                <w:lang w:val="tr-TR" w:eastAsia="tr-TR"/>
              </w:rPr>
              <w:t xml:space="preserve">Motor Compulsory TPL Insurance </w:t>
            </w:r>
          </w:p>
          <w:p w:rsidR="00646BA3" w:rsidRDefault="00646BA3" w:rsidP="008D2CF7">
            <w:pPr>
              <w:numPr>
                <w:ilvl w:val="0"/>
                <w:numId w:val="27"/>
              </w:numPr>
              <w:tabs>
                <w:tab w:val="clear" w:pos="720"/>
                <w:tab w:val="num" w:pos="421"/>
              </w:tabs>
              <w:ind w:left="421" w:hanging="421"/>
              <w:jc w:val="both"/>
              <w:rPr>
                <w:rFonts w:ascii="Century" w:hAnsi="Century"/>
                <w:color w:val="404040"/>
                <w:lang w:val="tr-TR" w:eastAsia="tr-TR"/>
              </w:rPr>
            </w:pPr>
            <w:r w:rsidRPr="00A41A00">
              <w:rPr>
                <w:rFonts w:ascii="Century" w:hAnsi="Century"/>
                <w:color w:val="404040"/>
                <w:lang w:val="tr-TR" w:eastAsia="tr-TR"/>
              </w:rPr>
              <w:t xml:space="preserve">Compulsory </w:t>
            </w:r>
            <w:r w:rsidR="00FE1566" w:rsidRPr="00A41A00">
              <w:rPr>
                <w:rFonts w:ascii="Century" w:hAnsi="Century"/>
                <w:color w:val="404040"/>
                <w:lang w:val="tr-TR" w:eastAsia="tr-TR"/>
              </w:rPr>
              <w:t>Land Transportation Liability</w:t>
            </w:r>
          </w:p>
          <w:p w:rsidR="00981098" w:rsidRDefault="00981098" w:rsidP="00981098">
            <w:pPr>
              <w:jc w:val="both"/>
              <w:rPr>
                <w:rFonts w:ascii="Century" w:hAnsi="Century"/>
                <w:color w:val="404040"/>
                <w:lang w:val="tr-TR" w:eastAsia="tr-TR"/>
              </w:rPr>
            </w:pPr>
          </w:p>
          <w:p w:rsidR="00646BA3" w:rsidRDefault="00646BA3" w:rsidP="008D2CF7">
            <w:pPr>
              <w:numPr>
                <w:ilvl w:val="0"/>
                <w:numId w:val="27"/>
              </w:numPr>
              <w:tabs>
                <w:tab w:val="clear" w:pos="720"/>
                <w:tab w:val="num" w:pos="421"/>
              </w:tabs>
              <w:ind w:left="421" w:hanging="421"/>
              <w:jc w:val="both"/>
              <w:rPr>
                <w:rFonts w:ascii="Century" w:hAnsi="Century"/>
                <w:color w:val="404040"/>
                <w:lang w:val="tr-TR" w:eastAsia="tr-TR"/>
              </w:rPr>
            </w:pPr>
            <w:r w:rsidRPr="00A41A00">
              <w:rPr>
                <w:rFonts w:ascii="Century" w:hAnsi="Century"/>
                <w:color w:val="404040"/>
                <w:lang w:val="tr-TR" w:eastAsia="tr-TR"/>
              </w:rPr>
              <w:lastRenderedPageBreak/>
              <w:t xml:space="preserve">Compulsory </w:t>
            </w:r>
            <w:r w:rsidR="00172AA3" w:rsidRPr="00A41A00">
              <w:rPr>
                <w:rFonts w:ascii="Century" w:hAnsi="Century"/>
                <w:color w:val="404040"/>
                <w:lang w:val="tr-TR" w:eastAsia="tr-TR"/>
              </w:rPr>
              <w:t xml:space="preserve">Passenger </w:t>
            </w:r>
            <w:r w:rsidR="002040D0" w:rsidRPr="00A41A00">
              <w:rPr>
                <w:rFonts w:ascii="Century" w:hAnsi="Century"/>
                <w:color w:val="404040"/>
                <w:lang w:val="tr-TR" w:eastAsia="tr-TR"/>
              </w:rPr>
              <w:t xml:space="preserve">Land </w:t>
            </w:r>
            <w:r w:rsidR="00172AA3" w:rsidRPr="00A41A00">
              <w:rPr>
                <w:rFonts w:ascii="Century" w:hAnsi="Century"/>
                <w:color w:val="404040"/>
                <w:lang w:val="tr-TR" w:eastAsia="tr-TR"/>
              </w:rPr>
              <w:t xml:space="preserve">Transportation </w:t>
            </w:r>
            <w:r w:rsidRPr="00A41A00">
              <w:rPr>
                <w:rFonts w:ascii="Century" w:hAnsi="Century"/>
                <w:color w:val="404040"/>
                <w:lang w:val="tr-TR" w:eastAsia="tr-TR"/>
              </w:rPr>
              <w:t>Personal Accident Insurance</w:t>
            </w:r>
          </w:p>
          <w:p w:rsidR="00646BA3" w:rsidRPr="00A41A00" w:rsidRDefault="00646BA3" w:rsidP="008D2CF7">
            <w:pPr>
              <w:numPr>
                <w:ilvl w:val="0"/>
                <w:numId w:val="27"/>
              </w:numPr>
              <w:tabs>
                <w:tab w:val="clear" w:pos="720"/>
                <w:tab w:val="num" w:pos="421"/>
              </w:tabs>
              <w:ind w:left="421" w:hanging="421"/>
              <w:jc w:val="both"/>
              <w:rPr>
                <w:rFonts w:ascii="Century" w:hAnsi="Century"/>
                <w:color w:val="404040"/>
                <w:lang w:val="tr-TR" w:eastAsia="tr-TR"/>
              </w:rPr>
            </w:pPr>
            <w:r w:rsidRPr="00A41A00">
              <w:rPr>
                <w:rFonts w:ascii="Century" w:hAnsi="Century"/>
                <w:color w:val="404040"/>
                <w:lang w:val="tr-TR" w:eastAsia="tr-TR"/>
              </w:rPr>
              <w:t>Compulsory T</w:t>
            </w:r>
            <w:r w:rsidR="007D53C0" w:rsidRPr="00A41A00">
              <w:rPr>
                <w:rFonts w:ascii="Century" w:hAnsi="Century"/>
                <w:color w:val="404040"/>
                <w:lang w:val="tr-TR" w:eastAsia="tr-TR"/>
              </w:rPr>
              <w:t>PL</w:t>
            </w:r>
            <w:r w:rsidRPr="00A41A00">
              <w:rPr>
                <w:rFonts w:ascii="Century" w:hAnsi="Century"/>
                <w:color w:val="404040"/>
                <w:lang w:val="tr-TR" w:eastAsia="tr-TR"/>
              </w:rPr>
              <w:t xml:space="preserve"> Insurance for LPG</w:t>
            </w:r>
            <w:r w:rsidR="0079306D" w:rsidRPr="00A41A00">
              <w:rPr>
                <w:rFonts w:ascii="Century" w:hAnsi="Century"/>
                <w:color w:val="404040"/>
                <w:lang w:val="tr-TR" w:eastAsia="tr-TR"/>
              </w:rPr>
              <w:t>’s</w:t>
            </w:r>
          </w:p>
          <w:p w:rsidR="00646BA3" w:rsidRPr="00A41A00" w:rsidRDefault="00646BA3" w:rsidP="0079306D">
            <w:pPr>
              <w:jc w:val="both"/>
              <w:rPr>
                <w:rFonts w:ascii="Century" w:hAnsi="Century"/>
                <w:color w:val="404040"/>
                <w:lang w:val="tr-TR" w:eastAsia="tr-TR"/>
              </w:rPr>
            </w:pPr>
          </w:p>
          <w:p w:rsidR="00646BA3" w:rsidRPr="00A41A00" w:rsidRDefault="00922016" w:rsidP="00646BA3">
            <w:pPr>
              <w:jc w:val="both"/>
              <w:rPr>
                <w:rFonts w:ascii="Century" w:hAnsi="Century"/>
                <w:color w:val="404040"/>
                <w:lang w:val="tr-TR" w:eastAsia="tr-TR"/>
              </w:rPr>
            </w:pPr>
            <w:r w:rsidRPr="00A41A00">
              <w:rPr>
                <w:rFonts w:ascii="Century" w:hAnsi="Century"/>
                <w:color w:val="404040"/>
                <w:lang w:val="tr-TR" w:eastAsia="tr-TR"/>
              </w:rPr>
              <w:t xml:space="preserve">Assurance account is administered by Account Management Committee and </w:t>
            </w:r>
            <w:r w:rsidR="00045E2C" w:rsidRPr="00A41A00">
              <w:rPr>
                <w:rFonts w:ascii="Century" w:hAnsi="Century"/>
                <w:color w:val="404040"/>
                <w:lang w:val="tr-TR" w:eastAsia="tr-TR"/>
              </w:rPr>
              <w:t>represented by committee president.</w:t>
            </w:r>
          </w:p>
          <w:p w:rsidR="007D53C0" w:rsidRPr="00A41A00" w:rsidRDefault="007D53C0" w:rsidP="00646BA3">
            <w:pPr>
              <w:jc w:val="both"/>
              <w:rPr>
                <w:rFonts w:ascii="Century" w:hAnsi="Century"/>
                <w:color w:val="404040"/>
                <w:lang w:val="tr-TR" w:eastAsia="tr-TR"/>
              </w:rPr>
            </w:pPr>
          </w:p>
          <w:p w:rsidR="003B28F0" w:rsidRPr="00A41A00" w:rsidRDefault="003B28F0" w:rsidP="00F71252">
            <w:pPr>
              <w:jc w:val="both"/>
              <w:rPr>
                <w:rFonts w:ascii="Century" w:hAnsi="Century"/>
                <w:color w:val="404040"/>
              </w:rPr>
            </w:pPr>
          </w:p>
          <w:p w:rsidR="00B75BA4" w:rsidRPr="00A41A00" w:rsidRDefault="00045E2C" w:rsidP="008D17FE">
            <w:pPr>
              <w:rPr>
                <w:rFonts w:ascii="Century" w:hAnsi="Century"/>
                <w:color w:val="404040"/>
                <w:lang w:val="tr-TR"/>
              </w:rPr>
            </w:pPr>
            <w:r w:rsidRPr="00A41A00">
              <w:rPr>
                <w:rFonts w:ascii="Century" w:hAnsi="Century"/>
                <w:color w:val="404040"/>
                <w:lang w:val="tr-TR"/>
              </w:rPr>
              <w:t xml:space="preserve">The </w:t>
            </w:r>
            <w:r w:rsidR="00951476" w:rsidRPr="00A41A00">
              <w:rPr>
                <w:rFonts w:ascii="Century" w:hAnsi="Century"/>
                <w:color w:val="404040"/>
                <w:lang w:val="tr-TR"/>
              </w:rPr>
              <w:t>Account</w:t>
            </w:r>
            <w:r w:rsidR="00124192" w:rsidRPr="00A41A00">
              <w:rPr>
                <w:rFonts w:ascii="Century" w:hAnsi="Century"/>
                <w:color w:val="404040"/>
                <w:lang w:val="tr-TR"/>
              </w:rPr>
              <w:t xml:space="preserve"> is liable to pay</w:t>
            </w:r>
            <w:r w:rsidR="00951476" w:rsidRPr="00A41A00">
              <w:rPr>
                <w:rFonts w:ascii="Century" w:hAnsi="Century"/>
                <w:color w:val="404040"/>
                <w:lang w:val="tr-TR"/>
              </w:rPr>
              <w:t>;</w:t>
            </w:r>
          </w:p>
          <w:p w:rsidR="00B75BA4" w:rsidRPr="00A41A00" w:rsidRDefault="00B75BA4" w:rsidP="008D17FE">
            <w:pPr>
              <w:rPr>
                <w:rFonts w:ascii="Century" w:hAnsi="Century"/>
                <w:color w:val="404040"/>
                <w:lang w:val="tr-TR"/>
              </w:rPr>
            </w:pPr>
          </w:p>
          <w:p w:rsidR="00B617A7" w:rsidRPr="00A41A00" w:rsidRDefault="004B08A2"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Bodily</w:t>
            </w:r>
            <w:r w:rsidR="00B617A7" w:rsidRPr="00A41A00">
              <w:rPr>
                <w:rFonts w:ascii="Century" w:hAnsi="Century"/>
                <w:color w:val="404040"/>
                <w:lang w:val="tr-TR" w:eastAsia="tr-TR"/>
              </w:rPr>
              <w:t xml:space="preserve"> injuries in </w:t>
            </w:r>
            <w:r w:rsidR="006B7D3A" w:rsidRPr="00A41A00">
              <w:rPr>
                <w:rFonts w:ascii="Century" w:hAnsi="Century"/>
                <w:color w:val="404040"/>
                <w:lang w:val="tr-TR" w:eastAsia="tr-TR"/>
              </w:rPr>
              <w:t xml:space="preserve">the </w:t>
            </w:r>
            <w:r w:rsidR="00B617A7" w:rsidRPr="00A41A00">
              <w:rPr>
                <w:rFonts w:ascii="Century" w:hAnsi="Century"/>
                <w:color w:val="404040"/>
                <w:lang w:val="tr-TR" w:eastAsia="tr-TR"/>
              </w:rPr>
              <w:t xml:space="preserve">case of </w:t>
            </w:r>
            <w:r w:rsidR="007A7411" w:rsidRPr="00A41A00">
              <w:rPr>
                <w:rFonts w:ascii="Century" w:hAnsi="Century"/>
                <w:color w:val="404040"/>
                <w:lang w:val="tr-TR" w:eastAsia="tr-TR"/>
              </w:rPr>
              <w:t>unidentified</w:t>
            </w:r>
            <w:r w:rsidR="00B617A7" w:rsidRPr="00A41A00">
              <w:rPr>
                <w:rFonts w:ascii="Century" w:hAnsi="Century"/>
                <w:color w:val="404040"/>
                <w:lang w:val="tr-TR" w:eastAsia="tr-TR"/>
              </w:rPr>
              <w:t xml:space="preserve"> insured,</w:t>
            </w:r>
          </w:p>
          <w:p w:rsidR="00BC1014" w:rsidRPr="00A41A00" w:rsidRDefault="00BC1014" w:rsidP="00BC1014">
            <w:pPr>
              <w:jc w:val="both"/>
              <w:rPr>
                <w:rFonts w:ascii="Century" w:hAnsi="Century"/>
                <w:color w:val="404040"/>
                <w:lang w:val="tr-TR" w:eastAsia="tr-TR"/>
              </w:rPr>
            </w:pPr>
          </w:p>
          <w:p w:rsidR="00B617A7" w:rsidRPr="00A41A00" w:rsidRDefault="004B08A2"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Bodily</w:t>
            </w:r>
            <w:r w:rsidR="002D08B6" w:rsidRPr="00A41A00">
              <w:rPr>
                <w:rFonts w:ascii="Century" w:hAnsi="Century"/>
                <w:color w:val="404040"/>
                <w:lang w:val="tr-TR" w:eastAsia="tr-TR"/>
              </w:rPr>
              <w:t xml:space="preserve"> </w:t>
            </w:r>
            <w:r w:rsidR="00B617A7" w:rsidRPr="00A41A00">
              <w:rPr>
                <w:rFonts w:ascii="Century" w:hAnsi="Century"/>
                <w:color w:val="404040"/>
                <w:lang w:val="tr-TR" w:eastAsia="tr-TR"/>
              </w:rPr>
              <w:t xml:space="preserve">injuries caused by those who </w:t>
            </w:r>
            <w:r w:rsidR="002D08B6" w:rsidRPr="00A41A00">
              <w:rPr>
                <w:rFonts w:ascii="Century" w:hAnsi="Century"/>
                <w:color w:val="404040"/>
                <w:lang w:val="tr-TR" w:eastAsia="tr-TR"/>
              </w:rPr>
              <w:t xml:space="preserve">are not insured with </w:t>
            </w:r>
            <w:r w:rsidR="005F7C8E" w:rsidRPr="00A41A00">
              <w:rPr>
                <w:rFonts w:ascii="Century" w:hAnsi="Century"/>
                <w:color w:val="404040"/>
                <w:lang w:val="tr-TR" w:eastAsia="tr-TR"/>
              </w:rPr>
              <w:t>covers in force,</w:t>
            </w:r>
            <w:r w:rsidR="002D08B6" w:rsidRPr="00A41A00">
              <w:rPr>
                <w:rFonts w:ascii="Century" w:hAnsi="Century"/>
                <w:color w:val="404040"/>
                <w:lang w:val="tr-TR" w:eastAsia="tr-TR"/>
              </w:rPr>
              <w:t xml:space="preserve"> </w:t>
            </w:r>
          </w:p>
          <w:p w:rsidR="00BC1014" w:rsidRPr="00A41A00" w:rsidRDefault="00BC1014" w:rsidP="00BC1014">
            <w:pPr>
              <w:jc w:val="both"/>
              <w:rPr>
                <w:rFonts w:ascii="Century" w:hAnsi="Century"/>
                <w:color w:val="404040"/>
                <w:lang w:val="tr-TR" w:eastAsia="tr-TR"/>
              </w:rPr>
            </w:pPr>
          </w:p>
          <w:p w:rsidR="00B617A7" w:rsidRPr="00A41A00" w:rsidRDefault="00FA1944"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 xml:space="preserve">Payments for excess of covers in force over covers </w:t>
            </w:r>
            <w:r w:rsidR="00335E21" w:rsidRPr="00A41A00">
              <w:rPr>
                <w:rFonts w:ascii="Century" w:hAnsi="Century"/>
                <w:color w:val="404040"/>
                <w:lang w:val="tr-TR" w:eastAsia="tr-TR"/>
              </w:rPr>
              <w:t>declared in clauses of</w:t>
            </w:r>
            <w:r w:rsidRPr="00A41A00">
              <w:rPr>
                <w:rFonts w:ascii="Century" w:hAnsi="Century"/>
                <w:color w:val="404040"/>
                <w:lang w:val="tr-TR" w:eastAsia="tr-TR"/>
              </w:rPr>
              <w:t xml:space="preserve"> policy in the case of </w:t>
            </w:r>
            <w:r w:rsidR="004B08A2" w:rsidRPr="00A41A00">
              <w:rPr>
                <w:rFonts w:ascii="Century" w:hAnsi="Century"/>
                <w:color w:val="404040"/>
                <w:lang w:val="tr-TR" w:eastAsia="tr-TR"/>
              </w:rPr>
              <w:t>bodily</w:t>
            </w:r>
            <w:r w:rsidRPr="00A41A00">
              <w:rPr>
                <w:rFonts w:ascii="Century" w:hAnsi="Century"/>
                <w:color w:val="404040"/>
                <w:lang w:val="tr-TR" w:eastAsia="tr-TR"/>
              </w:rPr>
              <w:t xml:space="preserve"> injuries, </w:t>
            </w:r>
          </w:p>
          <w:p w:rsidR="00BC1014" w:rsidRPr="00A41A00" w:rsidRDefault="00BC1014" w:rsidP="00BC1014">
            <w:pPr>
              <w:jc w:val="both"/>
              <w:rPr>
                <w:rFonts w:ascii="Century" w:hAnsi="Century"/>
                <w:color w:val="404040"/>
                <w:lang w:val="tr-TR" w:eastAsia="tr-TR"/>
              </w:rPr>
            </w:pPr>
          </w:p>
          <w:p w:rsidR="00B617A7" w:rsidRPr="00A41A00" w:rsidRDefault="004B08A2"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Bodily</w:t>
            </w:r>
            <w:r w:rsidR="00DD68AC" w:rsidRPr="00A41A00">
              <w:rPr>
                <w:rFonts w:ascii="Century" w:hAnsi="Century"/>
                <w:color w:val="404040"/>
                <w:lang w:val="tr-TR" w:eastAsia="tr-TR"/>
              </w:rPr>
              <w:t xml:space="preserve"> </w:t>
            </w:r>
            <w:r w:rsidRPr="00A41A00">
              <w:rPr>
                <w:rFonts w:ascii="Century" w:hAnsi="Century"/>
                <w:color w:val="404040"/>
                <w:lang w:val="tr-TR" w:eastAsia="tr-TR"/>
              </w:rPr>
              <w:t xml:space="preserve">injury </w:t>
            </w:r>
            <w:r w:rsidR="00DD68AC" w:rsidRPr="00A41A00">
              <w:rPr>
                <w:rFonts w:ascii="Century" w:hAnsi="Century"/>
                <w:color w:val="404040"/>
                <w:lang w:val="tr-TR" w:eastAsia="tr-TR"/>
              </w:rPr>
              <w:t xml:space="preserve">and </w:t>
            </w:r>
            <w:r w:rsidRPr="00A41A00">
              <w:rPr>
                <w:rFonts w:ascii="Century" w:hAnsi="Century"/>
                <w:color w:val="404040"/>
                <w:lang w:val="tr-TR" w:eastAsia="tr-TR"/>
              </w:rPr>
              <w:t xml:space="preserve">property damage </w:t>
            </w:r>
            <w:r w:rsidR="00432EAF" w:rsidRPr="00A41A00">
              <w:rPr>
                <w:rFonts w:ascii="Century" w:hAnsi="Century"/>
                <w:color w:val="404040"/>
                <w:lang w:val="tr-TR" w:eastAsia="tr-TR"/>
              </w:rPr>
              <w:t xml:space="preserve">in the case of </w:t>
            </w:r>
            <w:r w:rsidR="005F680A" w:rsidRPr="00A41A00">
              <w:rPr>
                <w:rFonts w:ascii="Century" w:hAnsi="Century"/>
                <w:color w:val="404040"/>
                <w:lang w:val="tr-TR" w:eastAsia="tr-TR"/>
              </w:rPr>
              <w:t>bankruptcy or cancellation of the authority to write new contracts of the insurer,</w:t>
            </w:r>
          </w:p>
          <w:p w:rsidR="00BC1014" w:rsidRPr="00A41A00" w:rsidRDefault="00BC1014" w:rsidP="00BC1014">
            <w:pPr>
              <w:jc w:val="both"/>
              <w:rPr>
                <w:rFonts w:ascii="Century" w:hAnsi="Century"/>
                <w:color w:val="404040"/>
                <w:lang w:val="tr-TR" w:eastAsia="tr-TR"/>
              </w:rPr>
            </w:pPr>
          </w:p>
          <w:p w:rsidR="00B617A7" w:rsidRPr="00A41A00" w:rsidRDefault="006232E1"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 xml:space="preserve">Physical </w:t>
            </w:r>
            <w:r w:rsidR="00B617A7" w:rsidRPr="00A41A00">
              <w:rPr>
                <w:rFonts w:ascii="Century" w:hAnsi="Century"/>
                <w:color w:val="404040"/>
                <w:lang w:val="tr-TR" w:eastAsia="tr-TR"/>
              </w:rPr>
              <w:t xml:space="preserve">injuries </w:t>
            </w:r>
            <w:r w:rsidR="00136F54" w:rsidRPr="00A41A00">
              <w:rPr>
                <w:rFonts w:ascii="Century" w:hAnsi="Century"/>
                <w:color w:val="404040"/>
                <w:lang w:val="tr-TR" w:eastAsia="tr-TR"/>
              </w:rPr>
              <w:t xml:space="preserve">in the cases of involvement of a stolen car in the accident or situations in which the operator </w:t>
            </w:r>
            <w:r w:rsidR="00070CAF" w:rsidRPr="00A41A00">
              <w:rPr>
                <w:rFonts w:ascii="Century" w:hAnsi="Century"/>
                <w:color w:val="404040"/>
                <w:lang w:val="tr-TR" w:eastAsia="tr-TR"/>
              </w:rPr>
              <w:t>can</w:t>
            </w:r>
            <w:r w:rsidR="00B617A7" w:rsidRPr="00A41A00">
              <w:rPr>
                <w:rFonts w:ascii="Century" w:hAnsi="Century"/>
                <w:color w:val="404040"/>
                <w:lang w:val="tr-TR" w:eastAsia="tr-TR"/>
              </w:rPr>
              <w:t xml:space="preserve">not </w:t>
            </w:r>
            <w:r w:rsidR="00070CAF" w:rsidRPr="00A41A00">
              <w:rPr>
                <w:rFonts w:ascii="Century" w:hAnsi="Century"/>
                <w:color w:val="404040"/>
                <w:lang w:val="tr-TR" w:eastAsia="tr-TR"/>
              </w:rPr>
              <w:t xml:space="preserve">be </w:t>
            </w:r>
            <w:r w:rsidR="00B617A7" w:rsidRPr="00A41A00">
              <w:rPr>
                <w:rFonts w:ascii="Century" w:hAnsi="Century"/>
                <w:color w:val="404040"/>
                <w:lang w:val="tr-TR" w:eastAsia="tr-TR"/>
              </w:rPr>
              <w:t>h</w:t>
            </w:r>
            <w:r w:rsidR="00070CAF" w:rsidRPr="00A41A00">
              <w:rPr>
                <w:rFonts w:ascii="Century" w:hAnsi="Century"/>
                <w:color w:val="404040"/>
                <w:lang w:val="tr-TR" w:eastAsia="tr-TR"/>
              </w:rPr>
              <w:t>o</w:t>
            </w:r>
            <w:r w:rsidR="00B617A7" w:rsidRPr="00A41A00">
              <w:rPr>
                <w:rFonts w:ascii="Century" w:hAnsi="Century"/>
                <w:color w:val="404040"/>
                <w:lang w:val="tr-TR" w:eastAsia="tr-TR"/>
              </w:rPr>
              <w:t xml:space="preserve">ld responsible </w:t>
            </w:r>
            <w:r w:rsidR="00070CAF" w:rsidRPr="00A41A00">
              <w:rPr>
                <w:rFonts w:ascii="Century" w:hAnsi="Century"/>
                <w:color w:val="404040"/>
                <w:lang w:val="tr-TR" w:eastAsia="tr-TR"/>
              </w:rPr>
              <w:t xml:space="preserve">according to </w:t>
            </w:r>
            <w:r w:rsidR="00B617A7" w:rsidRPr="00A41A00">
              <w:rPr>
                <w:rFonts w:ascii="Century" w:hAnsi="Century"/>
                <w:color w:val="404040"/>
                <w:lang w:val="tr-TR" w:eastAsia="tr-TR"/>
              </w:rPr>
              <w:t xml:space="preserve">Highways Traffic Code 2918 dated </w:t>
            </w:r>
            <w:r w:rsidRPr="00A41A00">
              <w:rPr>
                <w:rFonts w:ascii="Century" w:hAnsi="Century"/>
                <w:color w:val="404040"/>
                <w:lang w:val="tr-TR" w:eastAsia="tr-TR"/>
              </w:rPr>
              <w:t>10.13.</w:t>
            </w:r>
            <w:r w:rsidR="00B617A7" w:rsidRPr="00A41A00">
              <w:rPr>
                <w:rFonts w:ascii="Century" w:hAnsi="Century"/>
                <w:color w:val="404040"/>
                <w:lang w:val="tr-TR" w:eastAsia="tr-TR"/>
              </w:rPr>
              <w:t>1983,</w:t>
            </w:r>
          </w:p>
          <w:p w:rsidR="00BC1014" w:rsidRPr="00A41A00" w:rsidRDefault="00BC1014" w:rsidP="00BC1014">
            <w:pPr>
              <w:jc w:val="both"/>
              <w:rPr>
                <w:rFonts w:ascii="Century" w:hAnsi="Century"/>
                <w:color w:val="404040"/>
                <w:lang w:val="tr-TR" w:eastAsia="tr-TR"/>
              </w:rPr>
            </w:pPr>
          </w:p>
          <w:p w:rsidR="00B617A7" w:rsidRPr="00A41A00" w:rsidRDefault="006868A7" w:rsidP="00D15063">
            <w:pPr>
              <w:numPr>
                <w:ilvl w:val="0"/>
                <w:numId w:val="25"/>
              </w:numPr>
              <w:tabs>
                <w:tab w:val="clear" w:pos="735"/>
                <w:tab w:val="num" w:pos="241"/>
              </w:tabs>
              <w:ind w:left="241" w:hanging="241"/>
              <w:jc w:val="both"/>
              <w:rPr>
                <w:rFonts w:ascii="Century" w:hAnsi="Century"/>
                <w:color w:val="404040"/>
                <w:lang w:val="tr-TR" w:eastAsia="tr-TR"/>
              </w:rPr>
            </w:pPr>
            <w:r w:rsidRPr="00A41A00">
              <w:rPr>
                <w:rFonts w:ascii="Century" w:hAnsi="Century"/>
                <w:color w:val="404040"/>
                <w:lang w:val="tr-TR" w:eastAsia="tr-TR"/>
              </w:rPr>
              <w:t xml:space="preserve">Claims </w:t>
            </w:r>
            <w:r w:rsidR="0022397A" w:rsidRPr="00A41A00">
              <w:rPr>
                <w:rFonts w:ascii="Century" w:hAnsi="Century"/>
                <w:color w:val="404040"/>
                <w:lang w:val="tr-TR" w:eastAsia="tr-TR"/>
              </w:rPr>
              <w:t>perfected by Burea</w:t>
            </w:r>
            <w:r w:rsidR="007E7DE3" w:rsidRPr="00A41A00">
              <w:rPr>
                <w:rFonts w:ascii="Century" w:hAnsi="Century"/>
                <w:color w:val="404040"/>
                <w:lang w:val="tr-TR" w:eastAsia="tr-TR"/>
              </w:rPr>
              <w:t>u</w:t>
            </w:r>
            <w:r w:rsidR="0022397A" w:rsidRPr="00A41A00">
              <w:rPr>
                <w:rFonts w:ascii="Century" w:hAnsi="Century"/>
                <w:color w:val="404040"/>
                <w:lang w:val="tr-TR" w:eastAsia="tr-TR"/>
              </w:rPr>
              <w:t xml:space="preserve"> </w:t>
            </w:r>
            <w:r w:rsidR="007E7DE3" w:rsidRPr="00A41A00">
              <w:rPr>
                <w:rFonts w:ascii="Century" w:hAnsi="Century"/>
                <w:color w:val="404040"/>
                <w:lang w:val="tr-TR" w:eastAsia="tr-TR"/>
              </w:rPr>
              <w:t xml:space="preserve">because </w:t>
            </w:r>
            <w:r w:rsidR="00831E29" w:rsidRPr="00A41A00">
              <w:rPr>
                <w:rFonts w:ascii="Century" w:hAnsi="Century"/>
                <w:color w:val="404040"/>
                <w:lang w:val="tr-TR" w:eastAsia="tr-TR"/>
              </w:rPr>
              <w:t>of</w:t>
            </w:r>
            <w:r w:rsidR="00E75D5B" w:rsidRPr="00A41A00">
              <w:rPr>
                <w:rFonts w:ascii="Century" w:hAnsi="Century"/>
                <w:color w:val="404040"/>
                <w:lang w:val="tr-TR" w:eastAsia="tr-TR"/>
              </w:rPr>
              <w:t xml:space="preserve"> </w:t>
            </w:r>
            <w:r w:rsidR="00831E29" w:rsidRPr="00A41A00">
              <w:rPr>
                <w:rFonts w:ascii="Century" w:hAnsi="Century"/>
                <w:color w:val="404040"/>
                <w:lang w:val="tr-TR" w:eastAsia="tr-TR"/>
              </w:rPr>
              <w:t>coverage by</w:t>
            </w:r>
            <w:r w:rsidR="00E75D5B" w:rsidRPr="00A41A00">
              <w:rPr>
                <w:rFonts w:ascii="Century" w:hAnsi="Century"/>
                <w:color w:val="404040"/>
                <w:lang w:val="tr-TR" w:eastAsia="tr-TR"/>
              </w:rPr>
              <w:t xml:space="preserve"> Green Card System</w:t>
            </w:r>
            <w:r w:rsidR="00B617A7" w:rsidRPr="00A41A00">
              <w:rPr>
                <w:rFonts w:ascii="Century" w:hAnsi="Century"/>
                <w:color w:val="404040"/>
                <w:lang w:val="tr-TR" w:eastAsia="tr-TR"/>
              </w:rPr>
              <w:t xml:space="preserve"> </w:t>
            </w:r>
            <w:r w:rsidR="00831E29" w:rsidRPr="00A41A00">
              <w:rPr>
                <w:rFonts w:ascii="Century" w:hAnsi="Century"/>
                <w:color w:val="404040"/>
                <w:lang w:val="tr-TR" w:eastAsia="tr-TR"/>
              </w:rPr>
              <w:t>in Turkey,</w:t>
            </w:r>
          </w:p>
          <w:p w:rsidR="00646BA3" w:rsidRPr="00A41A00" w:rsidRDefault="00646BA3" w:rsidP="008D17FE">
            <w:pPr>
              <w:rPr>
                <w:rFonts w:ascii="Century" w:hAnsi="Century"/>
                <w:color w:val="404040"/>
                <w:lang w:val="tr-TR"/>
              </w:rPr>
            </w:pPr>
          </w:p>
          <w:p w:rsidR="00350749" w:rsidRPr="00A41A00" w:rsidRDefault="00350749" w:rsidP="008D17FE">
            <w:pPr>
              <w:rPr>
                <w:rFonts w:ascii="Century" w:hAnsi="Century"/>
                <w:color w:val="404040"/>
                <w:lang w:val="tr-TR"/>
              </w:rPr>
            </w:pPr>
          </w:p>
          <w:p w:rsidR="00350749" w:rsidRPr="00A41A00" w:rsidRDefault="00350749" w:rsidP="008D17FE">
            <w:pPr>
              <w:rPr>
                <w:rFonts w:ascii="Century" w:hAnsi="Century"/>
                <w:color w:val="404040"/>
                <w:lang w:val="tr-TR"/>
              </w:rPr>
            </w:pPr>
          </w:p>
          <w:p w:rsidR="00350749" w:rsidRPr="00A41A00" w:rsidRDefault="00350749" w:rsidP="008D17FE">
            <w:pPr>
              <w:rPr>
                <w:rFonts w:ascii="Century" w:hAnsi="Century"/>
                <w:color w:val="404040"/>
                <w:lang w:val="tr-TR"/>
              </w:rPr>
            </w:pPr>
          </w:p>
          <w:p w:rsidR="00350749" w:rsidRPr="00A41A00" w:rsidRDefault="00350749" w:rsidP="008D17FE">
            <w:pPr>
              <w:rPr>
                <w:rFonts w:ascii="Century" w:hAnsi="Century"/>
                <w:color w:val="404040"/>
                <w:lang w:val="tr-TR"/>
              </w:rPr>
            </w:pPr>
          </w:p>
          <w:p w:rsidR="00350749" w:rsidRPr="00A41A00" w:rsidRDefault="00350749" w:rsidP="008D17FE">
            <w:pPr>
              <w:rPr>
                <w:rFonts w:ascii="Century" w:hAnsi="Century"/>
                <w:color w:val="404040"/>
                <w:lang w:val="tr-TR"/>
              </w:rPr>
            </w:pPr>
          </w:p>
          <w:p w:rsidR="00350749" w:rsidRPr="00A41A00" w:rsidRDefault="00350749" w:rsidP="008D17FE">
            <w:pPr>
              <w:rPr>
                <w:rFonts w:ascii="Century" w:hAnsi="Century"/>
                <w:color w:val="404040"/>
                <w:lang w:val="tr-TR"/>
              </w:rPr>
            </w:pPr>
          </w:p>
          <w:p w:rsidR="00F71252" w:rsidRPr="00A41A00" w:rsidRDefault="000D79CE" w:rsidP="00F71252">
            <w:pPr>
              <w:jc w:val="both"/>
              <w:rPr>
                <w:rFonts w:ascii="Century" w:hAnsi="Century"/>
                <w:color w:val="404040"/>
              </w:rPr>
            </w:pPr>
            <w:r w:rsidRPr="00A41A00">
              <w:rPr>
                <w:rFonts w:ascii="Century" w:hAnsi="Century"/>
                <w:color w:val="404040"/>
              </w:rPr>
              <w:t>Paid losses in 2007</w:t>
            </w:r>
            <w:r w:rsidR="00F71252" w:rsidRPr="00A41A00">
              <w:rPr>
                <w:rFonts w:ascii="Century" w:hAnsi="Century"/>
                <w:color w:val="404040"/>
              </w:rPr>
              <w:t xml:space="preserve"> in terms of claims are showed below</w:t>
            </w:r>
            <w:r w:rsidR="00B11373" w:rsidRPr="00A41A00">
              <w:rPr>
                <w:rFonts w:ascii="Century" w:hAnsi="Century"/>
                <w:color w:val="404040"/>
              </w:rPr>
              <w:t>.</w:t>
            </w:r>
          </w:p>
          <w:p w:rsidR="00F71252" w:rsidRPr="00367FA3" w:rsidRDefault="00F71252" w:rsidP="008D17FE">
            <w:pPr>
              <w:rPr>
                <w:rFonts w:ascii="Century" w:hAnsi="Century"/>
                <w:highlight w:val="yellow"/>
                <w:lang w:val="tr-TR"/>
              </w:rPr>
            </w:pPr>
          </w:p>
        </w:tc>
      </w:tr>
      <w:tr w:rsidR="00D86152" w:rsidRPr="00367FA3">
        <w:tc>
          <w:tcPr>
            <w:tcW w:w="9855" w:type="dxa"/>
            <w:gridSpan w:val="5"/>
          </w:tcPr>
          <w:p w:rsidR="00321559" w:rsidRPr="000D79CE" w:rsidRDefault="00321559" w:rsidP="00A13177">
            <w:pPr>
              <w:pStyle w:val="ResimYazs"/>
              <w:jc w:val="center"/>
              <w:rPr>
                <w:rFonts w:ascii="Century" w:hAnsi="Century"/>
                <w:b w:val="0"/>
                <w:lang w:val="tr-TR"/>
              </w:rPr>
            </w:pPr>
            <w:bookmarkStart w:id="141" w:name="_Toc170665574"/>
            <w:r w:rsidRPr="000D79CE">
              <w:rPr>
                <w:rFonts w:ascii="Century" w:hAnsi="Century"/>
                <w:lang w:val="tr-TR"/>
              </w:rPr>
              <w:lastRenderedPageBreak/>
              <w:t xml:space="preserve">Tablo </w:t>
            </w:r>
            <w:r w:rsidRPr="000D79CE">
              <w:rPr>
                <w:rFonts w:ascii="Century" w:hAnsi="Century"/>
                <w:lang w:val="tr-TR"/>
              </w:rPr>
              <w:fldChar w:fldCharType="begin"/>
            </w:r>
            <w:r w:rsidRPr="000D79CE">
              <w:rPr>
                <w:rFonts w:ascii="Century" w:hAnsi="Century"/>
                <w:lang w:val="tr-TR"/>
              </w:rPr>
              <w:instrText xml:space="preserve"> STYLEREF 2 \s </w:instrText>
            </w:r>
            <w:r w:rsidRPr="000D79CE">
              <w:rPr>
                <w:rFonts w:ascii="Century" w:hAnsi="Century"/>
                <w:lang w:val="tr-TR"/>
              </w:rPr>
              <w:fldChar w:fldCharType="separate"/>
            </w:r>
            <w:r w:rsidR="00DA718E">
              <w:rPr>
                <w:rFonts w:ascii="Century" w:hAnsi="Century"/>
                <w:noProof/>
                <w:lang w:val="tr-TR"/>
              </w:rPr>
              <w:t>2.4</w:t>
            </w:r>
            <w:r w:rsidRPr="000D79CE">
              <w:rPr>
                <w:rFonts w:ascii="Century" w:hAnsi="Century"/>
                <w:lang w:val="tr-TR"/>
              </w:rPr>
              <w:fldChar w:fldCharType="end"/>
            </w:r>
            <w:r w:rsidRPr="000D79CE">
              <w:rPr>
                <w:rFonts w:ascii="Century" w:hAnsi="Century"/>
                <w:lang w:val="tr-TR"/>
              </w:rPr>
              <w:noBreakHyphen/>
            </w:r>
            <w:r w:rsidRPr="000D79CE">
              <w:rPr>
                <w:rFonts w:ascii="Century" w:hAnsi="Century"/>
                <w:lang w:val="tr-TR"/>
              </w:rPr>
              <w:fldChar w:fldCharType="begin"/>
            </w:r>
            <w:r w:rsidRPr="000D79CE">
              <w:rPr>
                <w:rFonts w:ascii="Century" w:hAnsi="Century"/>
                <w:lang w:val="tr-TR"/>
              </w:rPr>
              <w:instrText xml:space="preserve"> SEQ Tablo \* ARABIC \s 2 </w:instrText>
            </w:r>
            <w:r w:rsidRPr="000D79CE">
              <w:rPr>
                <w:rFonts w:ascii="Century" w:hAnsi="Century"/>
                <w:lang w:val="tr-TR"/>
              </w:rPr>
              <w:fldChar w:fldCharType="separate"/>
            </w:r>
            <w:r w:rsidR="00DA718E">
              <w:rPr>
                <w:rFonts w:ascii="Century" w:hAnsi="Century"/>
                <w:noProof/>
                <w:lang w:val="tr-TR"/>
              </w:rPr>
              <w:t>1</w:t>
            </w:r>
            <w:r w:rsidRPr="000D79CE">
              <w:rPr>
                <w:rFonts w:ascii="Century" w:hAnsi="Century"/>
                <w:lang w:val="tr-TR"/>
              </w:rPr>
              <w:fldChar w:fldCharType="end"/>
            </w:r>
            <w:r w:rsidR="000D79CE" w:rsidRPr="000D79CE">
              <w:rPr>
                <w:rFonts w:ascii="Century" w:hAnsi="Century"/>
                <w:lang w:val="tr-TR"/>
              </w:rPr>
              <w:t>; 2007</w:t>
            </w:r>
            <w:r w:rsidRPr="000D79CE">
              <w:rPr>
                <w:rFonts w:ascii="Century" w:hAnsi="Century"/>
                <w:lang w:val="tr-TR"/>
              </w:rPr>
              <w:t xml:space="preserve"> Yılı</w:t>
            </w:r>
            <w:r w:rsidRPr="000D79CE">
              <w:rPr>
                <w:rFonts w:ascii="Century" w:hAnsi="Century"/>
                <w:bCs w:val="0"/>
                <w:lang w:val="tr-TR"/>
              </w:rPr>
              <w:t xml:space="preserve"> Ödenen Tazminatlar -</w:t>
            </w:r>
            <w:r w:rsidRPr="000D79CE">
              <w:rPr>
                <w:rFonts w:ascii="Century" w:hAnsi="Century"/>
                <w:i/>
                <w:iCs/>
                <w:lang w:val="tr-TR"/>
              </w:rPr>
              <w:t xml:space="preserve"> </w:t>
            </w:r>
            <w:r w:rsidRPr="000D79CE">
              <w:rPr>
                <w:rFonts w:ascii="Century" w:hAnsi="Century"/>
                <w:b w:val="0"/>
                <w:i/>
                <w:iCs/>
                <w:lang w:val="tr-TR"/>
              </w:rPr>
              <w:t>Paid Loss for the Year of 200</w:t>
            </w:r>
            <w:bookmarkEnd w:id="141"/>
            <w:r w:rsidR="00925505">
              <w:rPr>
                <w:rFonts w:ascii="Century" w:hAnsi="Century"/>
                <w:b w:val="0"/>
                <w:i/>
                <w:iCs/>
                <w:lang w:val="tr-TR"/>
              </w:rPr>
              <w:t>7</w:t>
            </w:r>
          </w:p>
          <w:p w:rsidR="00CC6B02" w:rsidRPr="00367FA3" w:rsidRDefault="00951476" w:rsidP="007D53C0">
            <w:pPr>
              <w:jc w:val="center"/>
              <w:rPr>
                <w:rFonts w:ascii="Century" w:hAnsi="Century"/>
                <w:sz w:val="20"/>
                <w:szCs w:val="20"/>
                <w:highlight w:val="yellow"/>
                <w:lang w:val="tr-TR"/>
              </w:rPr>
            </w:pPr>
            <w:r w:rsidRPr="00951476">
              <w:rPr>
                <w:rFonts w:ascii="Century" w:hAnsi="Century"/>
                <w:sz w:val="20"/>
                <w:szCs w:val="20"/>
                <w:lang w:val="tr-TR"/>
              </w:rPr>
              <w:pict>
                <v:shape id="_x0000_i1091" type="#_x0000_t75" style="width:482.25pt;height:157.5pt">
                  <v:imagedata r:id="rId81" o:title=""/>
                </v:shape>
              </w:pict>
            </w:r>
          </w:p>
        </w:tc>
      </w:tr>
      <w:tr w:rsidR="00D86152" w:rsidRPr="00367FA3">
        <w:tc>
          <w:tcPr>
            <w:tcW w:w="4815" w:type="dxa"/>
            <w:gridSpan w:val="2"/>
          </w:tcPr>
          <w:p w:rsidR="00B26855" w:rsidRDefault="00B26855" w:rsidP="008D17FE">
            <w:pPr>
              <w:jc w:val="both"/>
              <w:rPr>
                <w:rFonts w:ascii="Century" w:hAnsi="Century"/>
                <w:highlight w:val="yellow"/>
                <w:lang w:val="tr-TR"/>
              </w:rPr>
            </w:pPr>
          </w:p>
          <w:p w:rsidR="00350749" w:rsidRDefault="00350749" w:rsidP="008D17FE">
            <w:pPr>
              <w:jc w:val="both"/>
              <w:rPr>
                <w:rFonts w:ascii="Century" w:hAnsi="Century"/>
                <w:highlight w:val="yellow"/>
                <w:lang w:val="tr-TR"/>
              </w:rPr>
            </w:pPr>
          </w:p>
          <w:p w:rsidR="005A43F8" w:rsidRDefault="00173EB0" w:rsidP="005D03EF">
            <w:pPr>
              <w:jc w:val="both"/>
              <w:rPr>
                <w:rFonts w:ascii="Century" w:hAnsi="Century"/>
                <w:lang w:val="tr-TR"/>
              </w:rPr>
            </w:pPr>
            <w:r w:rsidRPr="00394D5A">
              <w:rPr>
                <w:rFonts w:ascii="Century" w:hAnsi="Century"/>
                <w:lang w:val="tr-TR"/>
              </w:rPr>
              <w:t>2918 sayılı KTK’nı</w:t>
            </w:r>
            <w:r w:rsidR="001118AE" w:rsidRPr="00394D5A">
              <w:rPr>
                <w:rFonts w:ascii="Century" w:hAnsi="Century"/>
                <w:lang w:val="tr-TR"/>
              </w:rPr>
              <w:t>n 108’inci m</w:t>
            </w:r>
            <w:r w:rsidR="00321559" w:rsidRPr="00394D5A">
              <w:rPr>
                <w:rFonts w:ascii="Century" w:hAnsi="Century"/>
                <w:lang w:val="tr-TR"/>
              </w:rPr>
              <w:t>addesi</w:t>
            </w:r>
            <w:r w:rsidR="001118AE" w:rsidRPr="00394D5A">
              <w:rPr>
                <w:rFonts w:ascii="Century" w:hAnsi="Century"/>
                <w:lang w:val="tr-TR"/>
              </w:rPr>
              <w:t>nin</w:t>
            </w:r>
            <w:r w:rsidR="00321559" w:rsidRPr="00394D5A">
              <w:rPr>
                <w:rFonts w:ascii="Century" w:hAnsi="Century"/>
                <w:lang w:val="tr-TR"/>
              </w:rPr>
              <w:t xml:space="preserve"> </w:t>
            </w:r>
            <w:r w:rsidR="001118AE" w:rsidRPr="00394D5A">
              <w:rPr>
                <w:rFonts w:ascii="Century" w:hAnsi="Century"/>
                <w:lang w:val="tr-TR"/>
              </w:rPr>
              <w:t>(</w:t>
            </w:r>
            <w:r w:rsidR="00321559" w:rsidRPr="00394D5A">
              <w:rPr>
                <w:rFonts w:ascii="Century" w:hAnsi="Century"/>
                <w:lang w:val="tr-TR"/>
              </w:rPr>
              <w:t>c</w:t>
            </w:r>
            <w:r w:rsidR="001118AE" w:rsidRPr="00394D5A">
              <w:rPr>
                <w:rFonts w:ascii="Century" w:hAnsi="Century"/>
                <w:lang w:val="tr-TR"/>
              </w:rPr>
              <w:t>)</w:t>
            </w:r>
            <w:r w:rsidR="00321559" w:rsidRPr="00394D5A">
              <w:rPr>
                <w:rFonts w:ascii="Century" w:hAnsi="Century"/>
                <w:lang w:val="tr-TR"/>
              </w:rPr>
              <w:t xml:space="preserve"> bendine göre önceki yıllarda ödenen toplam tazminatların seyri</w:t>
            </w:r>
            <w:r w:rsidR="001118AE" w:rsidRPr="00394D5A">
              <w:rPr>
                <w:rFonts w:ascii="Century" w:hAnsi="Century"/>
                <w:lang w:val="tr-TR"/>
              </w:rPr>
              <w:t xml:space="preserve"> aşağıda verilmiştir.</w:t>
            </w:r>
          </w:p>
          <w:p w:rsidR="00951476" w:rsidRPr="00367FA3" w:rsidRDefault="00951476" w:rsidP="005D03EF">
            <w:pPr>
              <w:jc w:val="both"/>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Default="00D86152" w:rsidP="008D17FE">
            <w:pPr>
              <w:rPr>
                <w:rFonts w:ascii="Century" w:hAnsi="Century"/>
                <w:highlight w:val="yellow"/>
                <w:lang w:val="tr-TR"/>
              </w:rPr>
            </w:pPr>
          </w:p>
          <w:p w:rsidR="00350749" w:rsidRDefault="00350749" w:rsidP="008D17FE">
            <w:pPr>
              <w:rPr>
                <w:rFonts w:ascii="Century" w:hAnsi="Century"/>
                <w:highlight w:val="yellow"/>
                <w:lang w:val="tr-TR"/>
              </w:rPr>
            </w:pPr>
          </w:p>
          <w:p w:rsidR="00F71252" w:rsidRPr="00A41A00" w:rsidRDefault="00F71252" w:rsidP="00F71252">
            <w:pPr>
              <w:jc w:val="both"/>
              <w:rPr>
                <w:rFonts w:ascii="Century" w:hAnsi="Century"/>
                <w:color w:val="404040"/>
              </w:rPr>
            </w:pPr>
            <w:r w:rsidRPr="00A41A00">
              <w:rPr>
                <w:rFonts w:ascii="Century" w:hAnsi="Century"/>
                <w:color w:val="404040"/>
              </w:rPr>
              <w:t>Claims and paid losses due to bankruptcy of the insurer in preceding years are shown in the table below.</w:t>
            </w:r>
          </w:p>
          <w:p w:rsidR="00F71252" w:rsidRPr="00367FA3" w:rsidRDefault="00F71252" w:rsidP="008D17FE">
            <w:pPr>
              <w:rPr>
                <w:rFonts w:ascii="Century" w:hAnsi="Century"/>
                <w:highlight w:val="yellow"/>
                <w:lang w:val="tr-TR"/>
              </w:rPr>
            </w:pPr>
          </w:p>
        </w:tc>
      </w:tr>
      <w:tr w:rsidR="00D86152" w:rsidRPr="00367FA3">
        <w:tc>
          <w:tcPr>
            <w:tcW w:w="9855" w:type="dxa"/>
            <w:gridSpan w:val="5"/>
          </w:tcPr>
          <w:p w:rsidR="00D623A1" w:rsidRPr="00394D5A" w:rsidRDefault="00D623A1" w:rsidP="00A13177">
            <w:pPr>
              <w:pStyle w:val="ResimYazs"/>
              <w:jc w:val="center"/>
              <w:rPr>
                <w:rFonts w:ascii="Century" w:hAnsi="Century"/>
                <w:b w:val="0"/>
                <w:lang w:val="tr-TR"/>
              </w:rPr>
            </w:pPr>
            <w:bookmarkStart w:id="142" w:name="_Toc170665575"/>
            <w:r w:rsidRPr="00394D5A">
              <w:rPr>
                <w:rFonts w:ascii="Century" w:hAnsi="Century"/>
                <w:lang w:val="tr-TR"/>
              </w:rPr>
              <w:t xml:space="preserve">Tablo </w:t>
            </w:r>
            <w:r w:rsidRPr="00394D5A">
              <w:rPr>
                <w:rFonts w:ascii="Century" w:hAnsi="Century"/>
                <w:lang w:val="tr-TR"/>
              </w:rPr>
              <w:fldChar w:fldCharType="begin"/>
            </w:r>
            <w:r w:rsidRPr="00394D5A">
              <w:rPr>
                <w:rFonts w:ascii="Century" w:hAnsi="Century"/>
                <w:lang w:val="tr-TR"/>
              </w:rPr>
              <w:instrText xml:space="preserve"> STYLEREF 2 \s </w:instrText>
            </w:r>
            <w:r w:rsidRPr="00394D5A">
              <w:rPr>
                <w:rFonts w:ascii="Century" w:hAnsi="Century"/>
                <w:lang w:val="tr-TR"/>
              </w:rPr>
              <w:fldChar w:fldCharType="separate"/>
            </w:r>
            <w:r w:rsidR="00DA718E">
              <w:rPr>
                <w:rFonts w:ascii="Century" w:hAnsi="Century"/>
                <w:noProof/>
                <w:lang w:val="tr-TR"/>
              </w:rPr>
              <w:t>2.4</w:t>
            </w:r>
            <w:r w:rsidRPr="00394D5A">
              <w:rPr>
                <w:rFonts w:ascii="Century" w:hAnsi="Century"/>
                <w:lang w:val="tr-TR"/>
              </w:rPr>
              <w:fldChar w:fldCharType="end"/>
            </w:r>
            <w:r w:rsidRPr="00394D5A">
              <w:rPr>
                <w:rFonts w:ascii="Century" w:hAnsi="Century"/>
                <w:lang w:val="tr-TR"/>
              </w:rPr>
              <w:noBreakHyphen/>
            </w:r>
            <w:r w:rsidRPr="00394D5A">
              <w:rPr>
                <w:rFonts w:ascii="Century" w:hAnsi="Century"/>
                <w:lang w:val="tr-TR"/>
              </w:rPr>
              <w:fldChar w:fldCharType="begin"/>
            </w:r>
            <w:r w:rsidRPr="00394D5A">
              <w:rPr>
                <w:rFonts w:ascii="Century" w:hAnsi="Century"/>
                <w:lang w:val="tr-TR"/>
              </w:rPr>
              <w:instrText xml:space="preserve"> SEQ Tablo \* ARABIC \s 2 </w:instrText>
            </w:r>
            <w:r w:rsidRPr="00394D5A">
              <w:rPr>
                <w:rFonts w:ascii="Century" w:hAnsi="Century"/>
                <w:lang w:val="tr-TR"/>
              </w:rPr>
              <w:fldChar w:fldCharType="separate"/>
            </w:r>
            <w:r w:rsidR="00DA718E">
              <w:rPr>
                <w:rFonts w:ascii="Century" w:hAnsi="Century"/>
                <w:noProof/>
                <w:lang w:val="tr-TR"/>
              </w:rPr>
              <w:t>2</w:t>
            </w:r>
            <w:r w:rsidRPr="00394D5A">
              <w:rPr>
                <w:rFonts w:ascii="Century" w:hAnsi="Century"/>
                <w:lang w:val="tr-TR"/>
              </w:rPr>
              <w:fldChar w:fldCharType="end"/>
            </w:r>
            <w:r w:rsidRPr="00394D5A">
              <w:rPr>
                <w:rFonts w:ascii="Century" w:hAnsi="Century"/>
                <w:lang w:val="tr-TR"/>
              </w:rPr>
              <w:t xml:space="preserve">; </w:t>
            </w:r>
            <w:r w:rsidR="00E24467" w:rsidRPr="00394D5A">
              <w:rPr>
                <w:rFonts w:ascii="Century" w:hAnsi="Century"/>
                <w:bCs w:val="0"/>
                <w:lang w:val="tr-TR"/>
              </w:rPr>
              <w:t>KTK</w:t>
            </w:r>
            <w:r w:rsidRPr="00394D5A">
              <w:rPr>
                <w:rFonts w:ascii="Century" w:hAnsi="Century"/>
                <w:bCs w:val="0"/>
                <w:lang w:val="tr-TR"/>
              </w:rPr>
              <w:t xml:space="preserve"> 2918/c Maddesi Gereği Yapılam Tazm.Ödemeleri - </w:t>
            </w:r>
            <w:r w:rsidRPr="00394D5A">
              <w:rPr>
                <w:rFonts w:ascii="Century" w:hAnsi="Century"/>
                <w:b w:val="0"/>
                <w:i/>
                <w:iCs/>
                <w:lang w:val="tr-TR"/>
              </w:rPr>
              <w:t>Paid Loss for Bankruptcy</w:t>
            </w:r>
            <w:bookmarkEnd w:id="142"/>
          </w:p>
          <w:p w:rsidR="00D86152" w:rsidRPr="00756B7A" w:rsidRDefault="00756B7A" w:rsidP="00A13177">
            <w:pPr>
              <w:jc w:val="center"/>
              <w:rPr>
                <w:rFonts w:ascii="Century" w:hAnsi="Century"/>
                <w:lang w:val="tr-TR"/>
              </w:rPr>
            </w:pPr>
            <w:r w:rsidRPr="00756B7A">
              <w:rPr>
                <w:rFonts w:ascii="Century" w:hAnsi="Century"/>
                <w:lang w:val="tr-TR"/>
              </w:rPr>
              <w:pict>
                <v:shape id="_x0000_i1092" type="#_x0000_t75" style="width:426pt;height:89.25pt">
                  <v:imagedata r:id="rId82" o:title=""/>
                </v:shape>
              </w:pict>
            </w:r>
          </w:p>
          <w:p w:rsidR="00D623A1" w:rsidRDefault="00D623A1" w:rsidP="008D17FE">
            <w:pPr>
              <w:rPr>
                <w:rFonts w:ascii="Century" w:hAnsi="Century"/>
                <w:sz w:val="20"/>
                <w:szCs w:val="20"/>
                <w:lang w:val="tr-TR"/>
              </w:rPr>
            </w:pPr>
          </w:p>
          <w:p w:rsidR="00350749" w:rsidRPr="007D53C0" w:rsidRDefault="00350749" w:rsidP="008D17FE">
            <w:pPr>
              <w:rPr>
                <w:rFonts w:ascii="Century" w:hAnsi="Century"/>
                <w:sz w:val="20"/>
                <w:szCs w:val="20"/>
                <w:lang w:val="tr-TR"/>
              </w:rPr>
            </w:pPr>
          </w:p>
        </w:tc>
      </w:tr>
      <w:tr w:rsidR="00D86152" w:rsidRPr="00367FA3">
        <w:tc>
          <w:tcPr>
            <w:tcW w:w="4815" w:type="dxa"/>
            <w:gridSpan w:val="2"/>
          </w:tcPr>
          <w:p w:rsidR="00D623A1" w:rsidRPr="007A554E" w:rsidRDefault="001118AE" w:rsidP="008D17FE">
            <w:pPr>
              <w:jc w:val="both"/>
              <w:rPr>
                <w:rFonts w:ascii="Century" w:hAnsi="Century"/>
                <w:lang w:val="tr-TR"/>
              </w:rPr>
            </w:pPr>
            <w:r w:rsidRPr="007A554E">
              <w:rPr>
                <w:rFonts w:ascii="Century" w:hAnsi="Century"/>
                <w:lang w:val="tr-TR"/>
              </w:rPr>
              <w:t>2918 sayılı K</w:t>
            </w:r>
            <w:r w:rsidR="00173EB0" w:rsidRPr="007A554E">
              <w:rPr>
                <w:rFonts w:ascii="Century" w:hAnsi="Century"/>
                <w:lang w:val="tr-TR"/>
              </w:rPr>
              <w:t>TK’nı</w:t>
            </w:r>
            <w:r w:rsidRPr="007A554E">
              <w:rPr>
                <w:rFonts w:ascii="Century" w:hAnsi="Century"/>
                <w:lang w:val="tr-TR"/>
              </w:rPr>
              <w:t>n 108’inci m</w:t>
            </w:r>
            <w:r w:rsidR="00D623A1" w:rsidRPr="007A554E">
              <w:rPr>
                <w:rFonts w:ascii="Century" w:hAnsi="Century"/>
                <w:lang w:val="tr-TR"/>
              </w:rPr>
              <w:t>addesi</w:t>
            </w:r>
            <w:r w:rsidRPr="007A554E">
              <w:rPr>
                <w:rFonts w:ascii="Century" w:hAnsi="Century"/>
                <w:lang w:val="tr-TR"/>
              </w:rPr>
              <w:t>nin</w:t>
            </w:r>
            <w:r w:rsidR="00D623A1" w:rsidRPr="007A554E">
              <w:rPr>
                <w:rFonts w:ascii="Century" w:hAnsi="Century"/>
                <w:lang w:val="tr-TR"/>
              </w:rPr>
              <w:t xml:space="preserve"> a</w:t>
            </w:r>
            <w:r w:rsidRPr="007A554E">
              <w:rPr>
                <w:rFonts w:ascii="Century" w:hAnsi="Century"/>
                <w:lang w:val="tr-TR"/>
              </w:rPr>
              <w:t xml:space="preserve">, </w:t>
            </w:r>
            <w:r w:rsidR="00D623A1" w:rsidRPr="007A554E">
              <w:rPr>
                <w:rFonts w:ascii="Century" w:hAnsi="Century"/>
                <w:lang w:val="tr-TR"/>
              </w:rPr>
              <w:t>b</w:t>
            </w:r>
            <w:r w:rsidRPr="007A554E">
              <w:rPr>
                <w:rFonts w:ascii="Century" w:hAnsi="Century"/>
                <w:lang w:val="tr-TR"/>
              </w:rPr>
              <w:t xml:space="preserve"> ve </w:t>
            </w:r>
            <w:r w:rsidR="007A554E" w:rsidRPr="007A554E">
              <w:rPr>
                <w:rFonts w:ascii="Century" w:hAnsi="Century"/>
                <w:lang w:val="tr-TR"/>
              </w:rPr>
              <w:t>ç</w:t>
            </w:r>
            <w:r w:rsidR="00D623A1" w:rsidRPr="007A554E">
              <w:rPr>
                <w:rFonts w:ascii="Century" w:hAnsi="Century"/>
                <w:lang w:val="tr-TR"/>
              </w:rPr>
              <w:t xml:space="preserve"> bentlerine göre önceki yıllarda ödenen toplam tazminatların seyri ise şöyledir:</w:t>
            </w:r>
          </w:p>
          <w:p w:rsidR="002F7215" w:rsidRPr="007D53C0" w:rsidRDefault="002F7215" w:rsidP="008D17FE">
            <w:pPr>
              <w:rPr>
                <w:rFonts w:ascii="Century" w:hAnsi="Century"/>
                <w:sz w:val="20"/>
                <w:szCs w:val="20"/>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F71252" w:rsidRPr="00A41A00" w:rsidRDefault="00F71252" w:rsidP="00F71252">
            <w:pPr>
              <w:jc w:val="both"/>
              <w:rPr>
                <w:rFonts w:ascii="Century" w:hAnsi="Century"/>
                <w:color w:val="404040"/>
              </w:rPr>
            </w:pPr>
            <w:r w:rsidRPr="00A41A00">
              <w:rPr>
                <w:rFonts w:ascii="Century" w:hAnsi="Century"/>
                <w:color w:val="404040"/>
              </w:rPr>
              <w:t>Claims and paid losses due to other reasons in preceding years are shown in the table below.</w:t>
            </w:r>
          </w:p>
          <w:p w:rsidR="00D86152" w:rsidRPr="00367FA3" w:rsidRDefault="00D86152" w:rsidP="008D17FE">
            <w:pPr>
              <w:rPr>
                <w:rFonts w:ascii="Century" w:hAnsi="Century"/>
                <w:highlight w:val="yellow"/>
                <w:lang w:val="tr-TR"/>
              </w:rPr>
            </w:pPr>
          </w:p>
        </w:tc>
      </w:tr>
      <w:tr w:rsidR="00D86152" w:rsidRPr="00367FA3">
        <w:tc>
          <w:tcPr>
            <w:tcW w:w="9855" w:type="dxa"/>
            <w:gridSpan w:val="5"/>
          </w:tcPr>
          <w:p w:rsidR="00D623A1" w:rsidRPr="007A554E" w:rsidRDefault="00D623A1" w:rsidP="00A13177">
            <w:pPr>
              <w:pStyle w:val="ResimYazs"/>
              <w:jc w:val="center"/>
              <w:rPr>
                <w:rFonts w:ascii="Century" w:hAnsi="Century"/>
                <w:b w:val="0"/>
                <w:lang w:val="tr-TR"/>
              </w:rPr>
            </w:pPr>
            <w:bookmarkStart w:id="143" w:name="_Toc170665576"/>
            <w:r w:rsidRPr="007A554E">
              <w:rPr>
                <w:rFonts w:ascii="Century" w:hAnsi="Century"/>
                <w:lang w:val="tr-TR"/>
              </w:rPr>
              <w:t xml:space="preserve">Tablo </w:t>
            </w:r>
            <w:r w:rsidRPr="007A554E">
              <w:rPr>
                <w:rFonts w:ascii="Century" w:hAnsi="Century"/>
                <w:lang w:val="tr-TR"/>
              </w:rPr>
              <w:fldChar w:fldCharType="begin"/>
            </w:r>
            <w:r w:rsidRPr="007A554E">
              <w:rPr>
                <w:rFonts w:ascii="Century" w:hAnsi="Century"/>
                <w:lang w:val="tr-TR"/>
              </w:rPr>
              <w:instrText xml:space="preserve"> STYLEREF 2 \s </w:instrText>
            </w:r>
            <w:r w:rsidRPr="007A554E">
              <w:rPr>
                <w:rFonts w:ascii="Century" w:hAnsi="Century"/>
                <w:lang w:val="tr-TR"/>
              </w:rPr>
              <w:fldChar w:fldCharType="separate"/>
            </w:r>
            <w:r w:rsidR="00DA718E">
              <w:rPr>
                <w:rFonts w:ascii="Century" w:hAnsi="Century"/>
                <w:noProof/>
                <w:lang w:val="tr-TR"/>
              </w:rPr>
              <w:t>2.4</w:t>
            </w:r>
            <w:r w:rsidRPr="007A554E">
              <w:rPr>
                <w:rFonts w:ascii="Century" w:hAnsi="Century"/>
                <w:lang w:val="tr-TR"/>
              </w:rPr>
              <w:fldChar w:fldCharType="end"/>
            </w:r>
            <w:r w:rsidRPr="007A554E">
              <w:rPr>
                <w:rFonts w:ascii="Century" w:hAnsi="Century"/>
                <w:lang w:val="tr-TR"/>
              </w:rPr>
              <w:noBreakHyphen/>
            </w:r>
            <w:r w:rsidRPr="007A554E">
              <w:rPr>
                <w:rFonts w:ascii="Century" w:hAnsi="Century"/>
                <w:lang w:val="tr-TR"/>
              </w:rPr>
              <w:fldChar w:fldCharType="begin"/>
            </w:r>
            <w:r w:rsidRPr="007A554E">
              <w:rPr>
                <w:rFonts w:ascii="Century" w:hAnsi="Century"/>
                <w:lang w:val="tr-TR"/>
              </w:rPr>
              <w:instrText xml:space="preserve"> SEQ Tablo \* ARABIC \s 2 </w:instrText>
            </w:r>
            <w:r w:rsidRPr="007A554E">
              <w:rPr>
                <w:rFonts w:ascii="Century" w:hAnsi="Century"/>
                <w:lang w:val="tr-TR"/>
              </w:rPr>
              <w:fldChar w:fldCharType="separate"/>
            </w:r>
            <w:r w:rsidR="00DA718E">
              <w:rPr>
                <w:rFonts w:ascii="Century" w:hAnsi="Century"/>
                <w:noProof/>
                <w:lang w:val="tr-TR"/>
              </w:rPr>
              <w:t>3</w:t>
            </w:r>
            <w:r w:rsidRPr="007A554E">
              <w:rPr>
                <w:rFonts w:ascii="Century" w:hAnsi="Century"/>
                <w:lang w:val="tr-TR"/>
              </w:rPr>
              <w:fldChar w:fldCharType="end"/>
            </w:r>
            <w:r w:rsidRPr="007A554E">
              <w:rPr>
                <w:rFonts w:ascii="Century" w:hAnsi="Century"/>
                <w:lang w:val="tr-TR"/>
              </w:rPr>
              <w:t>;</w:t>
            </w:r>
            <w:r w:rsidR="00E24467" w:rsidRPr="007A554E">
              <w:rPr>
                <w:rFonts w:ascii="Century" w:hAnsi="Century"/>
                <w:lang w:val="tr-TR"/>
              </w:rPr>
              <w:t xml:space="preserve"> </w:t>
            </w:r>
            <w:r w:rsidR="00E24467" w:rsidRPr="007A554E">
              <w:rPr>
                <w:rFonts w:ascii="Century" w:hAnsi="Century"/>
                <w:bCs w:val="0"/>
                <w:lang w:val="tr-TR"/>
              </w:rPr>
              <w:t xml:space="preserve">KTK </w:t>
            </w:r>
            <w:r w:rsidR="007A554E" w:rsidRPr="007A554E">
              <w:rPr>
                <w:rFonts w:ascii="Century" w:hAnsi="Century"/>
                <w:bCs w:val="0"/>
                <w:lang w:val="tr-TR"/>
              </w:rPr>
              <w:t>2918/a-b-ç</w:t>
            </w:r>
            <w:r w:rsidRPr="007A554E">
              <w:rPr>
                <w:rFonts w:ascii="Century" w:hAnsi="Century"/>
                <w:bCs w:val="0"/>
                <w:lang w:val="tr-TR"/>
              </w:rPr>
              <w:t xml:space="preserve"> Mad.Gereği Yapılan Tazm.Ödemeleri-</w:t>
            </w:r>
            <w:r w:rsidRPr="007A554E">
              <w:rPr>
                <w:rFonts w:ascii="Century" w:hAnsi="Century"/>
                <w:b w:val="0"/>
                <w:i/>
                <w:iCs/>
                <w:lang w:val="tr-TR"/>
              </w:rPr>
              <w:t>Paid Loss for Other Reasons</w:t>
            </w:r>
            <w:bookmarkEnd w:id="143"/>
          </w:p>
          <w:p w:rsidR="00D86152" w:rsidRPr="00756B7A" w:rsidRDefault="00756B7A" w:rsidP="00A13177">
            <w:pPr>
              <w:jc w:val="center"/>
              <w:rPr>
                <w:rFonts w:ascii="Century" w:hAnsi="Century"/>
                <w:highlight w:val="yellow"/>
                <w:lang w:val="tr-TR"/>
              </w:rPr>
            </w:pPr>
            <w:r w:rsidRPr="00756B7A">
              <w:rPr>
                <w:rFonts w:ascii="Century" w:hAnsi="Century"/>
                <w:lang w:val="tr-TR"/>
              </w:rPr>
              <w:pict>
                <v:shape id="_x0000_i1093" type="#_x0000_t75" style="width:481.5pt;height:81pt">
                  <v:imagedata r:id="rId83" o:title=""/>
                </v:shape>
              </w:pict>
            </w:r>
          </w:p>
          <w:p w:rsidR="005A43F8" w:rsidRDefault="005A43F8" w:rsidP="008D17FE">
            <w:pPr>
              <w:rPr>
                <w:rFonts w:ascii="Century" w:hAnsi="Century"/>
                <w:highlight w:val="yellow"/>
                <w:lang w:val="tr-TR"/>
              </w:rPr>
            </w:pPr>
          </w:p>
          <w:p w:rsidR="00350749" w:rsidRDefault="00350749" w:rsidP="008D17FE">
            <w:pPr>
              <w:rPr>
                <w:rFonts w:ascii="Century" w:hAnsi="Century"/>
                <w:highlight w:val="yellow"/>
                <w:lang w:val="tr-TR"/>
              </w:rPr>
            </w:pPr>
          </w:p>
          <w:p w:rsidR="00350749" w:rsidRDefault="00350749" w:rsidP="008D17FE">
            <w:pPr>
              <w:rPr>
                <w:rFonts w:ascii="Century" w:hAnsi="Century"/>
                <w:highlight w:val="yellow"/>
                <w:lang w:val="tr-TR"/>
              </w:rPr>
            </w:pPr>
          </w:p>
          <w:p w:rsidR="00981098" w:rsidRDefault="00981098" w:rsidP="008D17FE">
            <w:pPr>
              <w:rPr>
                <w:rFonts w:ascii="Century" w:hAnsi="Century"/>
                <w:highlight w:val="yellow"/>
                <w:lang w:val="tr-TR"/>
              </w:rPr>
            </w:pPr>
          </w:p>
          <w:p w:rsidR="00981098" w:rsidRDefault="00981098" w:rsidP="008D17FE">
            <w:pPr>
              <w:rPr>
                <w:rFonts w:ascii="Century" w:hAnsi="Century"/>
                <w:highlight w:val="yellow"/>
                <w:lang w:val="tr-TR"/>
              </w:rPr>
            </w:pPr>
          </w:p>
          <w:p w:rsidR="00981098" w:rsidRDefault="00981098" w:rsidP="008D17FE">
            <w:pPr>
              <w:rPr>
                <w:rFonts w:ascii="Century" w:hAnsi="Century"/>
                <w:highlight w:val="yellow"/>
                <w:lang w:val="tr-TR"/>
              </w:rPr>
            </w:pPr>
          </w:p>
          <w:p w:rsidR="00981098" w:rsidRDefault="00981098" w:rsidP="008D17FE">
            <w:pPr>
              <w:rPr>
                <w:rFonts w:ascii="Century" w:hAnsi="Century"/>
                <w:highlight w:val="yellow"/>
                <w:lang w:val="tr-TR"/>
              </w:rPr>
            </w:pPr>
          </w:p>
          <w:p w:rsidR="00350749" w:rsidRDefault="00350749" w:rsidP="008D17FE">
            <w:pPr>
              <w:rPr>
                <w:rFonts w:ascii="Century" w:hAnsi="Century"/>
                <w:highlight w:val="yellow"/>
                <w:lang w:val="tr-TR"/>
              </w:rPr>
            </w:pPr>
          </w:p>
          <w:p w:rsidR="00350749" w:rsidRPr="00367FA3" w:rsidRDefault="00350749" w:rsidP="008D17FE">
            <w:pPr>
              <w:rPr>
                <w:rFonts w:ascii="Century" w:hAnsi="Century"/>
                <w:highlight w:val="yellow"/>
                <w:lang w:val="tr-TR"/>
              </w:rPr>
            </w:pPr>
          </w:p>
        </w:tc>
      </w:tr>
      <w:tr w:rsidR="00D86152" w:rsidRPr="00367FA3">
        <w:tc>
          <w:tcPr>
            <w:tcW w:w="4815" w:type="dxa"/>
            <w:gridSpan w:val="2"/>
          </w:tcPr>
          <w:p w:rsidR="00D623A1" w:rsidRPr="00200924" w:rsidRDefault="00D623A1" w:rsidP="00325A72">
            <w:pPr>
              <w:pStyle w:val="Balk2"/>
              <w:keepNext w:val="0"/>
              <w:numPr>
                <w:ilvl w:val="1"/>
                <w:numId w:val="7"/>
              </w:numPr>
              <w:tabs>
                <w:tab w:val="left" w:pos="612"/>
              </w:tabs>
              <w:spacing w:before="0" w:after="0"/>
              <w:jc w:val="both"/>
              <w:rPr>
                <w:rFonts w:ascii="Century" w:hAnsi="Century"/>
                <w:i w:val="0"/>
                <w:sz w:val="24"/>
                <w:szCs w:val="24"/>
                <w:lang w:val="tr-TR"/>
              </w:rPr>
            </w:pPr>
            <w:bookmarkStart w:id="144" w:name="_Toc170253101"/>
            <w:bookmarkStart w:id="145" w:name="_Toc198287716"/>
            <w:bookmarkStart w:id="146" w:name="_Toc199251263"/>
            <w:r w:rsidRPr="00200924">
              <w:rPr>
                <w:rFonts w:ascii="Century" w:hAnsi="Century"/>
                <w:i w:val="0"/>
                <w:sz w:val="24"/>
                <w:szCs w:val="24"/>
                <w:lang w:val="tr-TR"/>
              </w:rPr>
              <w:lastRenderedPageBreak/>
              <w:t>Türkiye Motorlu Taşıt Bürosu</w:t>
            </w:r>
            <w:bookmarkEnd w:id="144"/>
            <w:bookmarkEnd w:id="145"/>
            <w:bookmarkEnd w:id="146"/>
          </w:p>
          <w:p w:rsidR="005A43F8" w:rsidRPr="004565B9" w:rsidRDefault="005A43F8" w:rsidP="005A43F8">
            <w:pPr>
              <w:jc w:val="both"/>
              <w:rPr>
                <w:rFonts w:ascii="Century" w:hAnsi="Century"/>
                <w:lang w:val="tr-TR" w:eastAsia="tr-TR"/>
              </w:rPr>
            </w:pPr>
          </w:p>
          <w:p w:rsidR="00D623A1" w:rsidRPr="00367FA3" w:rsidRDefault="00D623A1" w:rsidP="005A43F8">
            <w:pPr>
              <w:jc w:val="both"/>
              <w:rPr>
                <w:rFonts w:ascii="Century" w:hAnsi="Century"/>
                <w:highlight w:val="yellow"/>
                <w:lang w:val="tr-TR" w:eastAsia="tr-TR"/>
              </w:rPr>
            </w:pPr>
            <w:r w:rsidRPr="004565B9">
              <w:rPr>
                <w:rFonts w:ascii="Century" w:hAnsi="Century"/>
                <w:lang w:val="tr-TR" w:eastAsia="tr-TR"/>
              </w:rPr>
              <w:t>Sigo</w:t>
            </w:r>
            <w:r w:rsidR="001118AE" w:rsidRPr="004565B9">
              <w:rPr>
                <w:rFonts w:ascii="Century" w:hAnsi="Century"/>
                <w:lang w:val="tr-TR" w:eastAsia="tr-TR"/>
              </w:rPr>
              <w:t>rta</w:t>
            </w:r>
            <w:r w:rsidR="00A23A1D" w:rsidRPr="004565B9">
              <w:rPr>
                <w:rFonts w:ascii="Century" w:hAnsi="Century"/>
                <w:lang w:val="tr-TR" w:eastAsia="tr-TR"/>
              </w:rPr>
              <w:t>cılık</w:t>
            </w:r>
            <w:r w:rsidR="001118AE" w:rsidRPr="004565B9">
              <w:rPr>
                <w:rFonts w:ascii="Century" w:hAnsi="Century"/>
                <w:lang w:val="tr-TR" w:eastAsia="tr-TR"/>
              </w:rPr>
              <w:t xml:space="preserve"> Kanunu’nun 3</w:t>
            </w:r>
            <w:r w:rsidR="00A23A1D" w:rsidRPr="004565B9">
              <w:rPr>
                <w:rFonts w:ascii="Century" w:hAnsi="Century"/>
                <w:lang w:val="tr-TR" w:eastAsia="tr-TR"/>
              </w:rPr>
              <w:t>8</w:t>
            </w:r>
            <w:r w:rsidR="001118AE" w:rsidRPr="004565B9">
              <w:rPr>
                <w:rFonts w:ascii="Century" w:hAnsi="Century"/>
                <w:lang w:val="tr-TR" w:eastAsia="tr-TR"/>
              </w:rPr>
              <w:t>’</w:t>
            </w:r>
            <w:r w:rsidR="00A23A1D" w:rsidRPr="004565B9">
              <w:rPr>
                <w:rFonts w:ascii="Century" w:hAnsi="Century"/>
                <w:lang w:val="tr-TR" w:eastAsia="tr-TR"/>
              </w:rPr>
              <w:t>inci</w:t>
            </w:r>
            <w:r w:rsidR="001118AE" w:rsidRPr="004565B9">
              <w:rPr>
                <w:rFonts w:ascii="Century" w:hAnsi="Century"/>
                <w:lang w:val="tr-TR" w:eastAsia="tr-TR"/>
              </w:rPr>
              <w:t xml:space="preserve"> m</w:t>
            </w:r>
            <w:r w:rsidRPr="004565B9">
              <w:rPr>
                <w:rFonts w:ascii="Century" w:hAnsi="Century"/>
                <w:lang w:val="tr-TR" w:eastAsia="tr-TR"/>
              </w:rPr>
              <w:t xml:space="preserve">addesi uyarınca merkezi İstanbul’da olan Türkiye Motorlu Taşıt Bürosu kurulmuştur. 1 Ocak 1953 tarihinde çalışmaya başlayan “Uluslararası Motorlu Taşıt Mali Sorumluluk Sigortası (Yeşil Kart) Sistemi” ile koordineli çalışan büro, kendi ülkeleri dışına çıkan sürücülerin </w:t>
            </w:r>
            <w:r w:rsidR="001118AE" w:rsidRPr="004565B9">
              <w:rPr>
                <w:rFonts w:ascii="Century" w:hAnsi="Century"/>
                <w:lang w:val="tr-TR" w:eastAsia="tr-TR"/>
              </w:rPr>
              <w:t xml:space="preserve">taşıtlarıyla </w:t>
            </w:r>
            <w:r w:rsidRPr="004565B9">
              <w:rPr>
                <w:rFonts w:ascii="Century" w:hAnsi="Century"/>
                <w:lang w:val="tr-TR" w:eastAsia="tr-TR"/>
              </w:rPr>
              <w:t xml:space="preserve">yabancı </w:t>
            </w:r>
            <w:r w:rsidR="001118AE" w:rsidRPr="004565B9">
              <w:rPr>
                <w:rFonts w:ascii="Century" w:hAnsi="Century"/>
                <w:lang w:val="tr-TR" w:eastAsia="tr-TR"/>
              </w:rPr>
              <w:t>ülkelerde</w:t>
            </w:r>
            <w:r w:rsidRPr="004565B9">
              <w:rPr>
                <w:rFonts w:ascii="Century" w:hAnsi="Century"/>
                <w:lang w:val="tr-TR" w:eastAsia="tr-TR"/>
              </w:rPr>
              <w:t xml:space="preserve"> üçüncü şahıslara verdikleri zararı çift yönlü olarak </w:t>
            </w:r>
            <w:r w:rsidRPr="00897717">
              <w:rPr>
                <w:rFonts w:ascii="Century" w:hAnsi="Century"/>
                <w:lang w:val="tr-TR" w:eastAsia="tr-TR"/>
              </w:rPr>
              <w:t>karşılamaktadır.</w:t>
            </w:r>
          </w:p>
          <w:p w:rsidR="005A43F8" w:rsidRPr="00367FA3" w:rsidRDefault="005A43F8" w:rsidP="005A43F8">
            <w:pPr>
              <w:jc w:val="both"/>
              <w:rPr>
                <w:rFonts w:ascii="Century" w:hAnsi="Century"/>
                <w:highlight w:val="yellow"/>
                <w:lang w:val="tr-TR" w:eastAsia="tr-TR"/>
              </w:rPr>
            </w:pPr>
          </w:p>
          <w:p w:rsidR="00B26855" w:rsidRPr="00367FA3" w:rsidRDefault="00B26855" w:rsidP="005A43F8">
            <w:pPr>
              <w:jc w:val="both"/>
              <w:rPr>
                <w:rFonts w:ascii="Century" w:hAnsi="Century"/>
                <w:highlight w:val="yellow"/>
                <w:lang w:val="tr-TR" w:eastAsia="tr-TR"/>
              </w:rPr>
            </w:pPr>
          </w:p>
          <w:p w:rsidR="00D623A1" w:rsidRDefault="00D623A1" w:rsidP="005A43F8">
            <w:pPr>
              <w:jc w:val="both"/>
              <w:rPr>
                <w:rFonts w:ascii="Century" w:hAnsi="Century"/>
                <w:lang w:val="tr-TR" w:eastAsia="tr-TR"/>
              </w:rPr>
            </w:pPr>
            <w:r w:rsidRPr="004565B9">
              <w:rPr>
                <w:rFonts w:ascii="Century" w:hAnsi="Century"/>
                <w:lang w:val="tr-TR" w:eastAsia="tr-TR"/>
              </w:rPr>
              <w:t>Böylece;</w:t>
            </w:r>
          </w:p>
          <w:p w:rsidR="007D53C0" w:rsidRPr="004565B9" w:rsidRDefault="007D53C0" w:rsidP="005A43F8">
            <w:pPr>
              <w:jc w:val="both"/>
              <w:rPr>
                <w:rFonts w:ascii="Century" w:hAnsi="Century"/>
                <w:lang w:val="tr-TR" w:eastAsia="tr-TR"/>
              </w:rPr>
            </w:pPr>
          </w:p>
          <w:p w:rsidR="00D623A1" w:rsidRPr="004565B9" w:rsidRDefault="00D623A1" w:rsidP="00A608D5">
            <w:pPr>
              <w:numPr>
                <w:ilvl w:val="0"/>
                <w:numId w:val="3"/>
              </w:numPr>
              <w:jc w:val="both"/>
              <w:rPr>
                <w:rFonts w:ascii="Century" w:hAnsi="Century"/>
                <w:lang w:val="tr-TR" w:eastAsia="tr-TR"/>
              </w:rPr>
            </w:pPr>
            <w:r w:rsidRPr="004565B9">
              <w:rPr>
                <w:rFonts w:ascii="Century" w:hAnsi="Century"/>
                <w:lang w:val="tr-TR" w:eastAsia="tr-TR"/>
              </w:rPr>
              <w:t>Sisteme dahil yabancı ülkelere taşıtlarıyla giden sürücülerin, kaza yaptıkları ülkelerin sınırlarında ayrıca birer “Motorlu Taşıt Mali Sorumluluk (Trafik) Sigortası” yaptırmak zorunda kalmamaları,</w:t>
            </w:r>
          </w:p>
          <w:p w:rsidR="00D623A1" w:rsidRDefault="00D623A1" w:rsidP="004565B9">
            <w:pPr>
              <w:numPr>
                <w:ilvl w:val="0"/>
                <w:numId w:val="3"/>
              </w:numPr>
              <w:jc w:val="both"/>
              <w:rPr>
                <w:rFonts w:ascii="Century" w:hAnsi="Century"/>
                <w:lang w:val="tr-TR" w:eastAsia="tr-TR"/>
              </w:rPr>
            </w:pPr>
            <w:r w:rsidRPr="004565B9">
              <w:rPr>
                <w:rFonts w:ascii="Century" w:hAnsi="Century"/>
                <w:lang w:val="tr-TR" w:eastAsia="tr-TR"/>
              </w:rPr>
              <w:t>Bu sürücülerin karşı tarafa verdikleri zararlardan dolayı da üçüncü şahısların mağdur olmamaları</w:t>
            </w:r>
            <w:r w:rsidR="0095408E">
              <w:rPr>
                <w:rFonts w:ascii="Century" w:hAnsi="Century"/>
                <w:lang w:val="tr-TR" w:eastAsia="tr-TR"/>
              </w:rPr>
              <w:t>,</w:t>
            </w:r>
          </w:p>
          <w:p w:rsidR="0095408E" w:rsidRDefault="0095408E" w:rsidP="0095408E">
            <w:pPr>
              <w:ind w:left="360"/>
              <w:jc w:val="both"/>
              <w:rPr>
                <w:rFonts w:ascii="Century" w:hAnsi="Century"/>
                <w:lang w:val="tr-TR" w:eastAsia="tr-TR"/>
              </w:rPr>
            </w:pPr>
          </w:p>
          <w:p w:rsidR="0095408E" w:rsidRDefault="0095408E" w:rsidP="0095408E">
            <w:pPr>
              <w:jc w:val="both"/>
              <w:rPr>
                <w:rFonts w:ascii="Century" w:hAnsi="Century"/>
                <w:lang w:val="tr-TR" w:eastAsia="tr-TR"/>
              </w:rPr>
            </w:pPr>
            <w:r>
              <w:rPr>
                <w:rFonts w:ascii="Century" w:hAnsi="Century"/>
                <w:lang w:val="tr-TR" w:eastAsia="tr-TR"/>
              </w:rPr>
              <w:t>sağlanmaktadır.</w:t>
            </w:r>
          </w:p>
          <w:p w:rsidR="007D53C0" w:rsidRPr="004565B9" w:rsidRDefault="007D53C0" w:rsidP="007D53C0">
            <w:pPr>
              <w:ind w:left="360"/>
              <w:jc w:val="both"/>
              <w:rPr>
                <w:rFonts w:ascii="Century" w:hAnsi="Century"/>
                <w:lang w:val="tr-TR" w:eastAsia="tr-TR"/>
              </w:rPr>
            </w:pPr>
          </w:p>
          <w:p w:rsidR="00E75346" w:rsidRPr="004565B9" w:rsidRDefault="00D623A1" w:rsidP="005A43F8">
            <w:pPr>
              <w:jc w:val="both"/>
              <w:rPr>
                <w:rFonts w:ascii="Century" w:hAnsi="Century"/>
                <w:lang w:val="tr-TR"/>
              </w:rPr>
            </w:pPr>
            <w:r w:rsidRPr="004565B9">
              <w:rPr>
                <w:rFonts w:ascii="Century" w:hAnsi="Century"/>
                <w:lang w:val="tr-TR"/>
              </w:rPr>
              <w:t>Yeşil kart Sigortası, zorunlu mali sorumluluk sigortasının yurt dışında geçerli olan şeklidir. Bu sigortanın tanzimi ile her ülke sınırında, o ülkenin mecburi trafik sigortasını yaptırma zorunluluğu ortadan kalkmış olur. Hangi ülkede kaza yapılmış ise, o ülkenin yasal limitleri dahilinde tazminat ödenir.</w:t>
            </w:r>
            <w:r w:rsidR="00500630" w:rsidRPr="004565B9">
              <w:rPr>
                <w:rFonts w:ascii="Century" w:hAnsi="Century"/>
                <w:lang w:val="tr-TR"/>
              </w:rPr>
              <w:t xml:space="preserve"> </w:t>
            </w:r>
          </w:p>
          <w:p w:rsidR="00B1773A" w:rsidRPr="004565B9" w:rsidRDefault="00B1773A" w:rsidP="005A43F8">
            <w:pPr>
              <w:jc w:val="both"/>
              <w:rPr>
                <w:rFonts w:ascii="Century" w:hAnsi="Century"/>
                <w:lang w:val="tr-TR"/>
              </w:rPr>
            </w:pPr>
          </w:p>
          <w:p w:rsidR="00D623A1" w:rsidRPr="004565B9" w:rsidRDefault="00D623A1" w:rsidP="005A43F8">
            <w:pPr>
              <w:jc w:val="both"/>
              <w:rPr>
                <w:rFonts w:ascii="Century" w:hAnsi="Century"/>
                <w:lang w:val="tr-TR"/>
              </w:rPr>
            </w:pPr>
            <w:r w:rsidRPr="004565B9">
              <w:rPr>
                <w:rFonts w:ascii="Century" w:hAnsi="Century"/>
                <w:lang w:val="tr-TR"/>
              </w:rPr>
              <w:t>Yeşil Kart Sistemine üye ülkeler şunlardır:</w:t>
            </w:r>
          </w:p>
          <w:p w:rsidR="002F7215" w:rsidRDefault="002F7215" w:rsidP="008D17FE">
            <w:pPr>
              <w:rPr>
                <w:rFonts w:ascii="Century" w:hAnsi="Century"/>
                <w:highlight w:val="yellow"/>
                <w:lang w:val="tr-TR"/>
              </w:rPr>
            </w:pPr>
          </w:p>
          <w:p w:rsidR="007D53C0" w:rsidRDefault="007D53C0" w:rsidP="008D17FE">
            <w:pPr>
              <w:rPr>
                <w:rFonts w:ascii="Century" w:hAnsi="Century"/>
                <w:highlight w:val="yellow"/>
                <w:lang w:val="tr-TR"/>
              </w:rPr>
            </w:pPr>
          </w:p>
          <w:p w:rsidR="007D53C0" w:rsidRDefault="007D53C0" w:rsidP="008D17FE">
            <w:pPr>
              <w:rPr>
                <w:rFonts w:ascii="Century" w:hAnsi="Century"/>
                <w:highlight w:val="yellow"/>
                <w:lang w:val="tr-TR"/>
              </w:rPr>
            </w:pPr>
          </w:p>
          <w:p w:rsidR="007D53C0" w:rsidRDefault="007D53C0" w:rsidP="008D17FE">
            <w:pPr>
              <w:rPr>
                <w:rFonts w:ascii="Century" w:hAnsi="Century"/>
                <w:highlight w:val="yellow"/>
                <w:lang w:val="tr-TR"/>
              </w:rPr>
            </w:pPr>
          </w:p>
          <w:p w:rsidR="00FC3AFF" w:rsidRDefault="00FC3AFF" w:rsidP="008D17FE">
            <w:pPr>
              <w:rPr>
                <w:rFonts w:ascii="Century" w:hAnsi="Century"/>
                <w:highlight w:val="yellow"/>
                <w:lang w:val="tr-TR"/>
              </w:rPr>
            </w:pPr>
          </w:p>
          <w:p w:rsidR="00A608D5" w:rsidRPr="00367FA3" w:rsidRDefault="00A608D5" w:rsidP="008D17FE">
            <w:pPr>
              <w:rPr>
                <w:rFonts w:ascii="Century" w:hAnsi="Century"/>
                <w:highlight w:val="yellow"/>
                <w:lang w:val="tr-TR"/>
              </w:rPr>
            </w:pP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F71252" w:rsidRPr="00A41A00" w:rsidRDefault="00325A72" w:rsidP="00325A72">
            <w:pPr>
              <w:rPr>
                <w:rFonts w:ascii="Century" w:hAnsi="Century"/>
                <w:b/>
                <w:color w:val="404040"/>
                <w:highlight w:val="yellow"/>
                <w:lang w:val="tr-TR"/>
              </w:rPr>
            </w:pPr>
            <w:r w:rsidRPr="00A41A00">
              <w:rPr>
                <w:rFonts w:ascii="Century" w:hAnsi="Century"/>
                <w:b/>
                <w:color w:val="404040"/>
                <w:lang w:val="tr-TR"/>
              </w:rPr>
              <w:t xml:space="preserve">2.5. </w:t>
            </w:r>
            <w:r w:rsidR="00F71252" w:rsidRPr="00A41A00">
              <w:rPr>
                <w:rFonts w:ascii="Century" w:hAnsi="Century"/>
                <w:b/>
                <w:color w:val="404040"/>
                <w:lang w:val="tr-TR"/>
              </w:rPr>
              <w:t>Turkish Motor Insurance Bureau</w:t>
            </w:r>
          </w:p>
          <w:p w:rsidR="002E3F1D" w:rsidRPr="00A41A00" w:rsidRDefault="002E3F1D" w:rsidP="002E3F1D">
            <w:pPr>
              <w:spacing w:before="100" w:beforeAutospacing="1" w:after="100" w:afterAutospacing="1"/>
              <w:jc w:val="both"/>
              <w:rPr>
                <w:rFonts w:ascii="Century" w:hAnsi="Century"/>
                <w:color w:val="404040"/>
              </w:rPr>
            </w:pPr>
            <w:r w:rsidRPr="00A41A00">
              <w:rPr>
                <w:rFonts w:ascii="Century" w:hAnsi="Century"/>
                <w:color w:val="404040"/>
              </w:rPr>
              <w:t xml:space="preserve">Due to </w:t>
            </w:r>
            <w:r w:rsidR="00E370D2" w:rsidRPr="00A41A00">
              <w:rPr>
                <w:rFonts w:ascii="Century" w:hAnsi="Century"/>
                <w:color w:val="404040"/>
              </w:rPr>
              <w:t>3</w:t>
            </w:r>
            <w:r w:rsidR="00A23A1D" w:rsidRPr="00A41A00">
              <w:rPr>
                <w:rFonts w:ascii="Century" w:hAnsi="Century"/>
                <w:color w:val="404040"/>
              </w:rPr>
              <w:t>8</w:t>
            </w:r>
            <w:r w:rsidR="006877AA" w:rsidRPr="00A41A00">
              <w:rPr>
                <w:rFonts w:ascii="Century" w:hAnsi="Century"/>
                <w:color w:val="404040"/>
                <w:vertAlign w:val="superscript"/>
              </w:rPr>
              <w:t>th</w:t>
            </w:r>
            <w:r w:rsidR="006877AA" w:rsidRPr="00A41A00">
              <w:rPr>
                <w:rFonts w:ascii="Monotype Corsiva" w:hAnsi="Monotype Corsiva" w:cs="Arial,Bold"/>
                <w:bCs/>
                <w:color w:val="404040"/>
                <w:sz w:val="28"/>
                <w:szCs w:val="28"/>
                <w:vertAlign w:val="superscript"/>
              </w:rPr>
              <w:t xml:space="preserve"> </w:t>
            </w:r>
            <w:r w:rsidRPr="00A41A00">
              <w:rPr>
                <w:rFonts w:ascii="Century" w:hAnsi="Century"/>
                <w:color w:val="404040"/>
              </w:rPr>
              <w:t xml:space="preserve">article of Insurance Supervision Law, Turkish Motor Insurance Bureau is established and its center is in </w:t>
            </w:r>
            <w:smartTag w:uri="urn:schemas-microsoft-com:office:smarttags" w:element="place">
              <w:smartTag w:uri="urn:schemas-microsoft-com:office:smarttags" w:element="City">
                <w:r w:rsidRPr="00A41A00">
                  <w:rPr>
                    <w:rFonts w:ascii="Century" w:hAnsi="Century"/>
                    <w:color w:val="404040"/>
                  </w:rPr>
                  <w:t>Istanbul</w:t>
                </w:r>
              </w:smartTag>
            </w:smartTag>
            <w:r w:rsidRPr="00A41A00">
              <w:rPr>
                <w:rFonts w:ascii="Century" w:hAnsi="Century"/>
                <w:color w:val="404040"/>
              </w:rPr>
              <w:t xml:space="preserve">. Bureau started to operate on </w:t>
            </w:r>
            <w:smartTag w:uri="urn:schemas-microsoft-com:office:smarttags" w:element="date">
              <w:smartTagPr>
                <w:attr w:name="Year" w:val="1953"/>
                <w:attr w:name="Day" w:val="1"/>
                <w:attr w:name="Month" w:val="1"/>
              </w:smartTagPr>
              <w:r w:rsidRPr="00A41A00">
                <w:rPr>
                  <w:rFonts w:ascii="Century" w:hAnsi="Century"/>
                  <w:color w:val="404040"/>
                </w:rPr>
                <w:t>January</w:t>
              </w:r>
              <w:r w:rsidR="007B0C7F" w:rsidRPr="00A41A00">
                <w:rPr>
                  <w:rFonts w:ascii="Century" w:hAnsi="Century"/>
                  <w:color w:val="404040"/>
                </w:rPr>
                <w:t xml:space="preserve"> 1,</w:t>
              </w:r>
              <w:r w:rsidRPr="00A41A00">
                <w:rPr>
                  <w:rFonts w:ascii="Century" w:hAnsi="Century"/>
                  <w:color w:val="404040"/>
                </w:rPr>
                <w:t xml:space="preserve"> 1953</w:t>
              </w:r>
            </w:smartTag>
            <w:r w:rsidRPr="00A41A00">
              <w:rPr>
                <w:rFonts w:ascii="Century" w:hAnsi="Century"/>
                <w:color w:val="404040"/>
              </w:rPr>
              <w:t xml:space="preserve"> and is in coordination with “System of accidents abroad and accidents with foreign registered vehicles in the country (Green Card)”. With the system, Bureau indemnif</w:t>
            </w:r>
            <w:r w:rsidR="00AB1521" w:rsidRPr="00A41A00">
              <w:rPr>
                <w:rFonts w:ascii="Century" w:hAnsi="Century"/>
                <w:color w:val="404040"/>
              </w:rPr>
              <w:t>ies</w:t>
            </w:r>
            <w:r w:rsidRPr="00A41A00">
              <w:rPr>
                <w:rFonts w:ascii="Century" w:hAnsi="Century"/>
                <w:color w:val="404040"/>
              </w:rPr>
              <w:t xml:space="preserve"> the damage done to vehicles and third party abroad by drivers of Turkish citizens.</w:t>
            </w:r>
          </w:p>
          <w:p w:rsidR="00E75346" w:rsidRPr="00A41A00" w:rsidRDefault="00E75346" w:rsidP="00041141">
            <w:pPr>
              <w:jc w:val="both"/>
              <w:rPr>
                <w:rFonts w:ascii="Century" w:hAnsi="Century"/>
                <w:color w:val="404040"/>
              </w:rPr>
            </w:pPr>
            <w:r w:rsidRPr="00A41A00">
              <w:rPr>
                <w:rFonts w:ascii="Century" w:hAnsi="Century"/>
                <w:color w:val="404040"/>
              </w:rPr>
              <w:t>Thus, the following is provided;</w:t>
            </w:r>
          </w:p>
          <w:p w:rsidR="007D53C0" w:rsidRPr="00A41A00" w:rsidRDefault="007D53C0" w:rsidP="00041141">
            <w:pPr>
              <w:jc w:val="both"/>
              <w:rPr>
                <w:rFonts w:ascii="Century" w:hAnsi="Century"/>
                <w:color w:val="404040"/>
              </w:rPr>
            </w:pPr>
          </w:p>
          <w:p w:rsidR="00E75346" w:rsidRPr="00A41A00" w:rsidRDefault="00E75346" w:rsidP="00D15063">
            <w:pPr>
              <w:numPr>
                <w:ilvl w:val="0"/>
                <w:numId w:val="16"/>
              </w:numPr>
              <w:tabs>
                <w:tab w:val="clear" w:pos="720"/>
                <w:tab w:val="num" w:pos="421"/>
              </w:tabs>
              <w:ind w:left="0" w:firstLine="0"/>
              <w:jc w:val="both"/>
              <w:rPr>
                <w:rFonts w:ascii="Century" w:hAnsi="Century"/>
                <w:color w:val="404040"/>
                <w:lang w:val="tr-TR" w:eastAsia="tr-TR"/>
              </w:rPr>
            </w:pPr>
            <w:r w:rsidRPr="00A41A00">
              <w:rPr>
                <w:rFonts w:ascii="Century" w:hAnsi="Century"/>
                <w:color w:val="404040"/>
                <w:lang w:val="tr-TR" w:eastAsia="tr-TR"/>
              </w:rPr>
              <w:t xml:space="preserve">Drivers abroad in countries that are members of the System </w:t>
            </w:r>
            <w:r w:rsidR="009810FD" w:rsidRPr="00A41A00">
              <w:rPr>
                <w:rFonts w:ascii="Century" w:hAnsi="Century"/>
                <w:color w:val="404040"/>
                <w:lang w:val="tr-TR" w:eastAsia="tr-TR"/>
              </w:rPr>
              <w:t xml:space="preserve">are not liable to buy Compulsory Motor Third Party Liability </w:t>
            </w:r>
            <w:r w:rsidRPr="00A41A00">
              <w:rPr>
                <w:rFonts w:ascii="Century" w:hAnsi="Century"/>
                <w:color w:val="404040"/>
                <w:lang w:val="tr-TR" w:eastAsia="tr-TR"/>
              </w:rPr>
              <w:t>(</w:t>
            </w:r>
            <w:smartTag w:uri="urn:schemas-microsoft-com:office:smarttags" w:element="stockticker">
              <w:r w:rsidRPr="00A41A00">
                <w:rPr>
                  <w:rFonts w:ascii="Century" w:hAnsi="Century"/>
                  <w:color w:val="404040"/>
                  <w:lang w:val="tr-TR" w:eastAsia="tr-TR"/>
                </w:rPr>
                <w:t>TPL</w:t>
              </w:r>
            </w:smartTag>
            <w:r w:rsidRPr="00A41A00">
              <w:rPr>
                <w:rFonts w:ascii="Century" w:hAnsi="Century"/>
                <w:color w:val="404040"/>
                <w:lang w:val="tr-TR" w:eastAsia="tr-TR"/>
              </w:rPr>
              <w:t>)</w:t>
            </w:r>
            <w:r w:rsidR="009810FD" w:rsidRPr="00A41A00">
              <w:rPr>
                <w:rFonts w:ascii="Century" w:hAnsi="Century"/>
                <w:color w:val="404040"/>
                <w:lang w:val="tr-TR" w:eastAsia="tr-TR"/>
              </w:rPr>
              <w:t xml:space="preserve"> Insurance</w:t>
            </w:r>
            <w:r w:rsidRPr="00A41A00">
              <w:rPr>
                <w:rFonts w:ascii="Century" w:hAnsi="Century"/>
                <w:color w:val="404040"/>
                <w:lang w:val="tr-TR" w:eastAsia="tr-TR"/>
              </w:rPr>
              <w:t xml:space="preserve"> again in these countries</w:t>
            </w:r>
          </w:p>
          <w:p w:rsidR="00A608D5" w:rsidRPr="00A41A00" w:rsidRDefault="00A608D5" w:rsidP="00041141">
            <w:pPr>
              <w:jc w:val="both"/>
              <w:rPr>
                <w:rFonts w:ascii="Century" w:hAnsi="Century"/>
                <w:color w:val="404040"/>
                <w:lang w:val="tr-TR" w:eastAsia="tr-TR"/>
              </w:rPr>
            </w:pPr>
          </w:p>
          <w:p w:rsidR="00A608D5" w:rsidRPr="00A41A00" w:rsidRDefault="00A608D5" w:rsidP="00041141">
            <w:pPr>
              <w:jc w:val="both"/>
              <w:rPr>
                <w:rFonts w:ascii="Century" w:hAnsi="Century"/>
                <w:color w:val="404040"/>
                <w:lang w:val="tr-TR" w:eastAsia="tr-TR"/>
              </w:rPr>
            </w:pPr>
          </w:p>
          <w:p w:rsidR="00F71252" w:rsidRPr="00A41A00" w:rsidRDefault="00E75346" w:rsidP="00D15063">
            <w:pPr>
              <w:numPr>
                <w:ilvl w:val="0"/>
                <w:numId w:val="16"/>
              </w:numPr>
              <w:tabs>
                <w:tab w:val="clear" w:pos="720"/>
                <w:tab w:val="left" w:pos="421"/>
              </w:tabs>
              <w:ind w:left="0" w:firstLine="0"/>
              <w:jc w:val="both"/>
              <w:rPr>
                <w:rFonts w:ascii="Century" w:hAnsi="Century"/>
                <w:color w:val="404040"/>
                <w:lang w:val="tr-TR" w:eastAsia="tr-TR"/>
              </w:rPr>
            </w:pPr>
            <w:r w:rsidRPr="00A41A00">
              <w:rPr>
                <w:rFonts w:ascii="Century" w:hAnsi="Century"/>
                <w:color w:val="404040"/>
                <w:lang w:val="tr-TR" w:eastAsia="tr-TR"/>
              </w:rPr>
              <w:t>Third party is not aggrieved due to the damage caused by drivers abroad</w:t>
            </w:r>
          </w:p>
          <w:p w:rsidR="00E75346" w:rsidRPr="00A41A00" w:rsidRDefault="00E75346" w:rsidP="00F71252">
            <w:pPr>
              <w:jc w:val="both"/>
              <w:rPr>
                <w:rFonts w:ascii="Century" w:hAnsi="Century" w:cs="Arial"/>
                <w:b/>
                <w:bCs/>
                <w:iCs/>
                <w:color w:val="404040"/>
                <w:lang w:val="tr-TR"/>
              </w:rPr>
            </w:pPr>
          </w:p>
          <w:p w:rsidR="00E75346" w:rsidRDefault="00E75346" w:rsidP="00F71252">
            <w:pPr>
              <w:jc w:val="both"/>
              <w:rPr>
                <w:rFonts w:ascii="Century" w:hAnsi="Century" w:cs="Arial"/>
                <w:b/>
                <w:bCs/>
                <w:iCs/>
                <w:color w:val="404040"/>
                <w:lang w:val="tr-TR"/>
              </w:rPr>
            </w:pPr>
          </w:p>
          <w:p w:rsidR="0095408E" w:rsidRDefault="0095408E" w:rsidP="00F71252">
            <w:pPr>
              <w:jc w:val="both"/>
              <w:rPr>
                <w:rFonts w:ascii="Century" w:hAnsi="Century" w:cs="Arial"/>
                <w:b/>
                <w:bCs/>
                <w:iCs/>
                <w:color w:val="404040"/>
                <w:lang w:val="tr-TR"/>
              </w:rPr>
            </w:pPr>
          </w:p>
          <w:p w:rsidR="0095408E" w:rsidRDefault="0095408E" w:rsidP="00F71252">
            <w:pPr>
              <w:jc w:val="both"/>
              <w:rPr>
                <w:rFonts w:ascii="Century" w:hAnsi="Century" w:cs="Arial"/>
                <w:b/>
                <w:bCs/>
                <w:iCs/>
                <w:color w:val="404040"/>
                <w:lang w:val="tr-TR"/>
              </w:rPr>
            </w:pPr>
          </w:p>
          <w:p w:rsidR="007D53C0" w:rsidRPr="00A41A00" w:rsidRDefault="007D53C0" w:rsidP="00F71252">
            <w:pPr>
              <w:jc w:val="both"/>
              <w:rPr>
                <w:rFonts w:ascii="Century" w:hAnsi="Century" w:cs="Arial"/>
                <w:b/>
                <w:bCs/>
                <w:iCs/>
                <w:color w:val="404040"/>
                <w:lang w:val="tr-TR"/>
              </w:rPr>
            </w:pPr>
          </w:p>
          <w:p w:rsidR="00E75346" w:rsidRPr="00A41A00" w:rsidRDefault="00E75346" w:rsidP="00B1773A">
            <w:pPr>
              <w:jc w:val="both"/>
              <w:rPr>
                <w:rFonts w:ascii="Century" w:hAnsi="Century"/>
                <w:color w:val="404040"/>
              </w:rPr>
            </w:pPr>
            <w:r w:rsidRPr="00A41A00">
              <w:rPr>
                <w:rFonts w:ascii="Century" w:hAnsi="Century"/>
                <w:color w:val="404040"/>
              </w:rPr>
              <w:t xml:space="preserve">Green Card Insurance is </w:t>
            </w:r>
            <w:smartTag w:uri="urn:schemas-microsoft-com:office:smarttags" w:element="stockticker">
              <w:r w:rsidRPr="00A41A00">
                <w:rPr>
                  <w:rFonts w:ascii="Century" w:hAnsi="Century"/>
                  <w:color w:val="404040"/>
                </w:rPr>
                <w:t>TPL</w:t>
              </w:r>
            </w:smartTag>
            <w:r w:rsidRPr="00A41A00">
              <w:rPr>
                <w:rFonts w:ascii="Century" w:hAnsi="Century"/>
                <w:color w:val="404040"/>
              </w:rPr>
              <w:t xml:space="preserve"> which is valid in foreign countries. With arrangement of the insurance, the driver’s liability to buy </w:t>
            </w:r>
            <w:smartTag w:uri="urn:schemas-microsoft-com:office:smarttags" w:element="stockticker">
              <w:r w:rsidRPr="00A41A00">
                <w:rPr>
                  <w:rFonts w:ascii="Century" w:hAnsi="Century"/>
                  <w:color w:val="404040"/>
                </w:rPr>
                <w:t>TPL</w:t>
              </w:r>
            </w:smartTag>
            <w:r w:rsidRPr="00A41A00">
              <w:rPr>
                <w:rFonts w:ascii="Century" w:hAnsi="Century"/>
                <w:color w:val="404040"/>
              </w:rPr>
              <w:t xml:space="preserve"> insurance of the foreign country disappears. The loss is paid with respect to the legal limits of the country of accident.</w:t>
            </w:r>
          </w:p>
          <w:p w:rsidR="00B1773A" w:rsidRPr="00A41A00" w:rsidRDefault="00B1773A" w:rsidP="00B1773A">
            <w:pPr>
              <w:jc w:val="both"/>
              <w:rPr>
                <w:rFonts w:ascii="Century" w:hAnsi="Century"/>
                <w:color w:val="404040"/>
                <w:highlight w:val="yellow"/>
              </w:rPr>
            </w:pPr>
          </w:p>
          <w:p w:rsidR="00B1773A" w:rsidRDefault="00B1773A" w:rsidP="00B1773A">
            <w:pPr>
              <w:jc w:val="both"/>
              <w:rPr>
                <w:rFonts w:ascii="Century" w:hAnsi="Century"/>
                <w:color w:val="404040"/>
              </w:rPr>
            </w:pPr>
          </w:p>
          <w:p w:rsidR="00E75346" w:rsidRPr="00A41A00" w:rsidRDefault="00E75346" w:rsidP="00B1773A">
            <w:pPr>
              <w:jc w:val="both"/>
              <w:rPr>
                <w:rFonts w:ascii="Century" w:hAnsi="Century"/>
                <w:color w:val="404040"/>
              </w:rPr>
            </w:pPr>
            <w:r w:rsidRPr="00A41A00">
              <w:rPr>
                <w:rFonts w:ascii="Century" w:hAnsi="Century"/>
                <w:color w:val="404040"/>
              </w:rPr>
              <w:t>Member countries of the Green Card System are shown in the table below.</w:t>
            </w:r>
          </w:p>
          <w:p w:rsidR="00E75346" w:rsidRPr="00367FA3" w:rsidRDefault="00E75346" w:rsidP="00F71252">
            <w:pPr>
              <w:jc w:val="both"/>
              <w:rPr>
                <w:rFonts w:ascii="Century" w:hAnsi="Century" w:cs="Arial"/>
                <w:b/>
                <w:bCs/>
                <w:iCs/>
                <w:color w:val="808080"/>
                <w:highlight w:val="yellow"/>
                <w:lang w:val="tr-TR"/>
              </w:rPr>
            </w:pPr>
          </w:p>
        </w:tc>
      </w:tr>
      <w:tr w:rsidR="00D86152" w:rsidRPr="00367FA3">
        <w:tc>
          <w:tcPr>
            <w:tcW w:w="9855" w:type="dxa"/>
            <w:gridSpan w:val="5"/>
          </w:tcPr>
          <w:p w:rsidR="00D623A1" w:rsidRPr="007D53C0" w:rsidRDefault="00D623A1" w:rsidP="00A13177">
            <w:pPr>
              <w:pStyle w:val="ResimYazs"/>
              <w:jc w:val="center"/>
              <w:rPr>
                <w:rFonts w:ascii="Century" w:hAnsi="Century"/>
                <w:lang w:val="tr-TR"/>
              </w:rPr>
            </w:pPr>
            <w:bookmarkStart w:id="147" w:name="_Toc170665577"/>
            <w:r w:rsidRPr="007D53C0">
              <w:rPr>
                <w:rFonts w:ascii="Century" w:hAnsi="Century"/>
                <w:lang w:val="tr-TR"/>
              </w:rPr>
              <w:lastRenderedPageBreak/>
              <w:t xml:space="preserve">Tablo </w:t>
            </w:r>
            <w:r w:rsidRPr="007D53C0">
              <w:rPr>
                <w:rFonts w:ascii="Century" w:hAnsi="Century"/>
                <w:lang w:val="tr-TR"/>
              </w:rPr>
              <w:fldChar w:fldCharType="begin"/>
            </w:r>
            <w:r w:rsidRPr="007D53C0">
              <w:rPr>
                <w:rFonts w:ascii="Century" w:hAnsi="Century"/>
                <w:lang w:val="tr-TR"/>
              </w:rPr>
              <w:instrText xml:space="preserve"> STYLEREF 2 \s </w:instrText>
            </w:r>
            <w:r w:rsidRPr="007D53C0">
              <w:rPr>
                <w:rFonts w:ascii="Century" w:hAnsi="Century"/>
                <w:lang w:val="tr-TR"/>
              </w:rPr>
              <w:fldChar w:fldCharType="separate"/>
            </w:r>
            <w:r w:rsidR="00DA718E">
              <w:rPr>
                <w:rFonts w:ascii="Century" w:hAnsi="Century"/>
                <w:noProof/>
                <w:lang w:val="tr-TR"/>
              </w:rPr>
              <w:t>2.5</w:t>
            </w:r>
            <w:r w:rsidRPr="007D53C0">
              <w:rPr>
                <w:rFonts w:ascii="Century" w:hAnsi="Century"/>
                <w:lang w:val="tr-TR"/>
              </w:rPr>
              <w:fldChar w:fldCharType="end"/>
            </w:r>
            <w:r w:rsidRPr="007D53C0">
              <w:rPr>
                <w:rFonts w:ascii="Century" w:hAnsi="Century"/>
                <w:lang w:val="tr-TR"/>
              </w:rPr>
              <w:noBreakHyphen/>
            </w:r>
            <w:r w:rsidRPr="007D53C0">
              <w:rPr>
                <w:rFonts w:ascii="Century" w:hAnsi="Century"/>
                <w:lang w:val="tr-TR"/>
              </w:rPr>
              <w:fldChar w:fldCharType="begin"/>
            </w:r>
            <w:r w:rsidRPr="007D53C0">
              <w:rPr>
                <w:rFonts w:ascii="Century" w:hAnsi="Century"/>
                <w:lang w:val="tr-TR"/>
              </w:rPr>
              <w:instrText xml:space="preserve"> SEQ Tablo \* ARABIC \s 2 </w:instrText>
            </w:r>
            <w:r w:rsidRPr="007D53C0">
              <w:rPr>
                <w:rFonts w:ascii="Century" w:hAnsi="Century"/>
                <w:lang w:val="tr-TR"/>
              </w:rPr>
              <w:fldChar w:fldCharType="separate"/>
            </w:r>
            <w:r w:rsidR="00DA718E">
              <w:rPr>
                <w:rFonts w:ascii="Century" w:hAnsi="Century"/>
                <w:noProof/>
                <w:lang w:val="tr-TR"/>
              </w:rPr>
              <w:t>1</w:t>
            </w:r>
            <w:r w:rsidRPr="007D53C0">
              <w:rPr>
                <w:rFonts w:ascii="Century" w:hAnsi="Century"/>
                <w:lang w:val="tr-TR"/>
              </w:rPr>
              <w:fldChar w:fldCharType="end"/>
            </w:r>
            <w:r w:rsidRPr="007D53C0">
              <w:rPr>
                <w:rFonts w:ascii="Century" w:hAnsi="Century"/>
                <w:lang w:val="tr-TR"/>
              </w:rPr>
              <w:t xml:space="preserve">; </w:t>
            </w:r>
            <w:r w:rsidRPr="007D53C0">
              <w:rPr>
                <w:rFonts w:ascii="Century" w:hAnsi="Century"/>
                <w:bCs w:val="0"/>
                <w:lang w:val="tr-TR"/>
              </w:rPr>
              <w:t xml:space="preserve">Ülkeler ve Kodları - </w:t>
            </w:r>
            <w:r w:rsidRPr="007D53C0">
              <w:rPr>
                <w:rFonts w:ascii="Century" w:hAnsi="Century"/>
                <w:b w:val="0"/>
                <w:i/>
                <w:iCs/>
                <w:lang w:val="tr-TR"/>
              </w:rPr>
              <w:t>Member Countries and Codes</w:t>
            </w:r>
            <w:bookmarkEnd w:id="147"/>
          </w:p>
          <w:p w:rsidR="003258AB" w:rsidRPr="007D53C0" w:rsidRDefault="007D53C0" w:rsidP="00A13177">
            <w:pPr>
              <w:jc w:val="center"/>
              <w:rPr>
                <w:rFonts w:ascii="Century" w:hAnsi="Century"/>
                <w:highlight w:val="yellow"/>
                <w:lang w:val="tr-TR"/>
              </w:rPr>
            </w:pPr>
            <w:r w:rsidRPr="007D53C0">
              <w:rPr>
                <w:rFonts w:ascii="Century" w:hAnsi="Century"/>
                <w:lang w:val="tr-TR"/>
              </w:rPr>
              <w:pict>
                <v:shape id="_x0000_i1094" type="#_x0000_t75" style="width:429pt;height:138.75pt">
                  <v:imagedata r:id="rId84" o:title=""/>
                </v:shape>
              </w:pict>
            </w:r>
          </w:p>
        </w:tc>
      </w:tr>
      <w:tr w:rsidR="00D86152" w:rsidRPr="00BC1014">
        <w:tc>
          <w:tcPr>
            <w:tcW w:w="4815" w:type="dxa"/>
            <w:gridSpan w:val="2"/>
          </w:tcPr>
          <w:p w:rsidR="005D03EF" w:rsidRPr="00BC1014" w:rsidRDefault="005D03EF" w:rsidP="005A43F8">
            <w:pPr>
              <w:pStyle w:val="NormalWeb"/>
              <w:spacing w:before="0" w:beforeAutospacing="0" w:after="0" w:afterAutospacing="0"/>
              <w:jc w:val="both"/>
              <w:rPr>
                <w:rFonts w:ascii="Century" w:hAnsi="Century"/>
                <w:sz w:val="20"/>
                <w:szCs w:val="20"/>
              </w:rPr>
            </w:pPr>
          </w:p>
          <w:p w:rsidR="005D03EF" w:rsidRPr="004565B9" w:rsidRDefault="00191073" w:rsidP="005A43F8">
            <w:pPr>
              <w:pStyle w:val="NormalWeb"/>
              <w:spacing w:before="0" w:beforeAutospacing="0" w:after="0" w:afterAutospacing="0"/>
              <w:jc w:val="both"/>
              <w:rPr>
                <w:rFonts w:ascii="Century" w:hAnsi="Century"/>
              </w:rPr>
            </w:pPr>
            <w:r w:rsidRPr="004565B9">
              <w:rPr>
                <w:rFonts w:ascii="Century" w:hAnsi="Century"/>
              </w:rPr>
              <w:t>Sigorta ş</w:t>
            </w:r>
            <w:r w:rsidR="00D623A1" w:rsidRPr="004565B9">
              <w:rPr>
                <w:rFonts w:ascii="Century" w:hAnsi="Century"/>
              </w:rPr>
              <w:t>irketleri Yeşil Kart Sigortasını, faaliyette bul</w:t>
            </w:r>
            <w:r w:rsidR="005D03EF" w:rsidRPr="004565B9">
              <w:rPr>
                <w:rFonts w:ascii="Century" w:hAnsi="Century"/>
              </w:rPr>
              <w:t xml:space="preserve">undukları ülkede kurulmuş olan </w:t>
            </w:r>
            <w:r w:rsidR="00D623A1" w:rsidRPr="004565B9">
              <w:rPr>
                <w:rFonts w:ascii="Century" w:hAnsi="Century"/>
              </w:rPr>
              <w:t>Büro adına ve acentesi olarak yapmaktadırlar. Yeşilkart poliçesi yalnız poliç</w:t>
            </w:r>
            <w:r w:rsidR="005D03EF" w:rsidRPr="004565B9">
              <w:rPr>
                <w:rFonts w:ascii="Century" w:hAnsi="Century"/>
              </w:rPr>
              <w:t xml:space="preserve">e üzerinde üstü çizili olmayan </w:t>
            </w:r>
            <w:r w:rsidR="00D623A1" w:rsidRPr="004565B9">
              <w:rPr>
                <w:rFonts w:ascii="Century" w:hAnsi="Century"/>
              </w:rPr>
              <w:t>ülkelerde geçerlidir. Sisteme üye sigorta şirketleri ve araç bazında prim üretimleri aşağıdaki tabloda verilmiştir.</w:t>
            </w:r>
          </w:p>
          <w:p w:rsidR="004565B9" w:rsidRPr="004565B9" w:rsidRDefault="004565B9" w:rsidP="005A43F8">
            <w:pPr>
              <w:pStyle w:val="NormalWeb"/>
              <w:spacing w:before="0" w:beforeAutospacing="0" w:after="0" w:afterAutospacing="0"/>
              <w:jc w:val="both"/>
              <w:rPr>
                <w:rFonts w:ascii="Century" w:hAnsi="Century"/>
              </w:rPr>
            </w:pPr>
          </w:p>
        </w:tc>
        <w:tc>
          <w:tcPr>
            <w:tcW w:w="236" w:type="dxa"/>
            <w:gridSpan w:val="2"/>
          </w:tcPr>
          <w:p w:rsidR="00D86152" w:rsidRPr="004565B9" w:rsidRDefault="00D86152" w:rsidP="008D17FE">
            <w:pPr>
              <w:rPr>
                <w:rFonts w:ascii="Century" w:hAnsi="Century"/>
                <w:lang w:val="tr-TR"/>
              </w:rPr>
            </w:pPr>
          </w:p>
        </w:tc>
        <w:tc>
          <w:tcPr>
            <w:tcW w:w="4804" w:type="dxa"/>
          </w:tcPr>
          <w:p w:rsidR="00E75346" w:rsidRPr="00BC1014" w:rsidRDefault="00E75346" w:rsidP="008D17FE">
            <w:pPr>
              <w:rPr>
                <w:rFonts w:ascii="Century" w:hAnsi="Century"/>
                <w:color w:val="808080"/>
                <w:sz w:val="20"/>
                <w:szCs w:val="20"/>
                <w:lang w:val="tr-TR"/>
              </w:rPr>
            </w:pPr>
          </w:p>
          <w:p w:rsidR="00831E29" w:rsidRPr="00766A2D" w:rsidRDefault="00E451B1" w:rsidP="002B481B">
            <w:pPr>
              <w:jc w:val="both"/>
              <w:rPr>
                <w:rFonts w:ascii="Century" w:hAnsi="Century"/>
                <w:color w:val="404040"/>
                <w:lang w:val="tr-TR"/>
              </w:rPr>
            </w:pPr>
            <w:r w:rsidRPr="00766A2D">
              <w:rPr>
                <w:rFonts w:ascii="Century" w:hAnsi="Century"/>
                <w:color w:val="404040"/>
                <w:lang w:val="tr-TR"/>
              </w:rPr>
              <w:t>Insurance companies write green card insurance in the name of the Burea as an agency</w:t>
            </w:r>
            <w:r w:rsidR="007B7441" w:rsidRPr="00766A2D">
              <w:rPr>
                <w:rFonts w:ascii="Century" w:hAnsi="Century"/>
                <w:color w:val="404040"/>
                <w:lang w:val="tr-TR"/>
              </w:rPr>
              <w:t xml:space="preserve">. Green card policy is valid only in the countries that are </w:t>
            </w:r>
            <w:r w:rsidR="00E56FCC" w:rsidRPr="00766A2D">
              <w:rPr>
                <w:rFonts w:ascii="Century" w:hAnsi="Century"/>
                <w:color w:val="404040"/>
                <w:lang w:val="tr-TR"/>
              </w:rPr>
              <w:t xml:space="preserve">not struck-through </w:t>
            </w:r>
            <w:r w:rsidR="002B481B" w:rsidRPr="00766A2D">
              <w:rPr>
                <w:rFonts w:ascii="Century" w:hAnsi="Century"/>
                <w:color w:val="404040"/>
                <w:lang w:val="tr-TR"/>
              </w:rPr>
              <w:t>in the clauses of the policy. Insurance companies that are members of the system and their premium volume in respect to vehicle types are shown below.</w:t>
            </w:r>
          </w:p>
        </w:tc>
      </w:tr>
      <w:tr w:rsidR="00D86152" w:rsidRPr="00367FA3">
        <w:tc>
          <w:tcPr>
            <w:tcW w:w="9855" w:type="dxa"/>
            <w:gridSpan w:val="5"/>
          </w:tcPr>
          <w:p w:rsidR="00D623A1" w:rsidRPr="004565B9" w:rsidRDefault="00897717" w:rsidP="00A13177">
            <w:pPr>
              <w:pStyle w:val="ResimYazs"/>
              <w:jc w:val="center"/>
              <w:rPr>
                <w:rFonts w:ascii="Century" w:hAnsi="Century"/>
                <w:i/>
                <w:iCs/>
                <w:lang w:val="tr-TR"/>
              </w:rPr>
            </w:pPr>
            <w:bookmarkStart w:id="148" w:name="_Toc170665578"/>
            <w:r>
              <w:rPr>
                <w:rFonts w:ascii="Century" w:hAnsi="Century"/>
                <w:lang w:val="tr-TR"/>
              </w:rPr>
              <w:t>-</w:t>
            </w:r>
            <w:r w:rsidR="00D623A1" w:rsidRPr="004565B9">
              <w:rPr>
                <w:rFonts w:ascii="Century" w:hAnsi="Century"/>
                <w:lang w:val="tr-TR"/>
              </w:rPr>
              <w:t xml:space="preserve">Tablo </w:t>
            </w:r>
            <w:r w:rsidR="00D623A1" w:rsidRPr="004565B9">
              <w:rPr>
                <w:rFonts w:ascii="Century" w:hAnsi="Century"/>
                <w:lang w:val="tr-TR"/>
              </w:rPr>
              <w:fldChar w:fldCharType="begin"/>
            </w:r>
            <w:r w:rsidR="00D623A1" w:rsidRPr="004565B9">
              <w:rPr>
                <w:rFonts w:ascii="Century" w:hAnsi="Century"/>
                <w:lang w:val="tr-TR"/>
              </w:rPr>
              <w:instrText xml:space="preserve"> STYLEREF 2 \s </w:instrText>
            </w:r>
            <w:r w:rsidR="00D623A1" w:rsidRPr="004565B9">
              <w:rPr>
                <w:rFonts w:ascii="Century" w:hAnsi="Century"/>
                <w:lang w:val="tr-TR"/>
              </w:rPr>
              <w:fldChar w:fldCharType="separate"/>
            </w:r>
            <w:r w:rsidR="00DA718E">
              <w:rPr>
                <w:rFonts w:ascii="Century" w:hAnsi="Century"/>
                <w:noProof/>
                <w:lang w:val="tr-TR"/>
              </w:rPr>
              <w:t>2.5</w:t>
            </w:r>
            <w:r w:rsidR="00D623A1" w:rsidRPr="004565B9">
              <w:rPr>
                <w:rFonts w:ascii="Century" w:hAnsi="Century"/>
                <w:lang w:val="tr-TR"/>
              </w:rPr>
              <w:fldChar w:fldCharType="end"/>
            </w:r>
            <w:r w:rsidR="00D623A1" w:rsidRPr="004565B9">
              <w:rPr>
                <w:rFonts w:ascii="Century" w:hAnsi="Century"/>
                <w:lang w:val="tr-TR"/>
              </w:rPr>
              <w:noBreakHyphen/>
            </w:r>
            <w:r w:rsidR="00D623A1" w:rsidRPr="004565B9">
              <w:rPr>
                <w:rFonts w:ascii="Century" w:hAnsi="Century"/>
                <w:lang w:val="tr-TR"/>
              </w:rPr>
              <w:fldChar w:fldCharType="begin"/>
            </w:r>
            <w:r w:rsidR="00D623A1" w:rsidRPr="004565B9">
              <w:rPr>
                <w:rFonts w:ascii="Century" w:hAnsi="Century"/>
                <w:lang w:val="tr-TR"/>
              </w:rPr>
              <w:instrText xml:space="preserve"> SEQ Tablo \* ARABIC \s 2 </w:instrText>
            </w:r>
            <w:r w:rsidR="00D623A1" w:rsidRPr="004565B9">
              <w:rPr>
                <w:rFonts w:ascii="Century" w:hAnsi="Century"/>
                <w:lang w:val="tr-TR"/>
              </w:rPr>
              <w:fldChar w:fldCharType="separate"/>
            </w:r>
            <w:r w:rsidR="00DA718E">
              <w:rPr>
                <w:rFonts w:ascii="Century" w:hAnsi="Century"/>
                <w:noProof/>
                <w:lang w:val="tr-TR"/>
              </w:rPr>
              <w:t>2</w:t>
            </w:r>
            <w:r w:rsidR="00D623A1" w:rsidRPr="004565B9">
              <w:rPr>
                <w:rFonts w:ascii="Century" w:hAnsi="Century"/>
                <w:lang w:val="tr-TR"/>
              </w:rPr>
              <w:fldChar w:fldCharType="end"/>
            </w:r>
            <w:r w:rsidR="00D623A1" w:rsidRPr="004565B9">
              <w:rPr>
                <w:rFonts w:ascii="Century" w:hAnsi="Century"/>
                <w:lang w:val="tr-TR"/>
              </w:rPr>
              <w:t>; Üye Sigorta Şirk. ve Primleri-</w:t>
            </w:r>
            <w:r w:rsidR="00D623A1" w:rsidRPr="004565B9">
              <w:rPr>
                <w:rFonts w:ascii="Century" w:hAnsi="Century"/>
                <w:b w:val="0"/>
                <w:i/>
                <w:iCs/>
                <w:lang w:val="tr-TR"/>
              </w:rPr>
              <w:t>Members of Green Card System and Premium</w:t>
            </w:r>
            <w:bookmarkEnd w:id="148"/>
          </w:p>
          <w:p w:rsidR="002F7215" w:rsidRPr="007D53C0" w:rsidRDefault="007D53C0" w:rsidP="00A13177">
            <w:pPr>
              <w:jc w:val="center"/>
              <w:rPr>
                <w:rFonts w:ascii="Century" w:hAnsi="Century"/>
                <w:highlight w:val="yellow"/>
                <w:lang w:val="tr-TR"/>
              </w:rPr>
            </w:pPr>
            <w:r w:rsidRPr="007D53C0">
              <w:rPr>
                <w:rFonts w:ascii="Century" w:hAnsi="Century"/>
                <w:lang w:val="tr-TR"/>
              </w:rPr>
              <w:pict>
                <v:shape id="_x0000_i1095" type="#_x0000_t75" style="width:481.5pt;height:166.5pt">
                  <v:imagedata r:id="rId85" o:title=""/>
                </v:shape>
              </w:pict>
            </w:r>
          </w:p>
        </w:tc>
      </w:tr>
      <w:tr w:rsidR="00BA072D" w:rsidRPr="00367FA3">
        <w:tc>
          <w:tcPr>
            <w:tcW w:w="4815" w:type="dxa"/>
            <w:gridSpan w:val="2"/>
          </w:tcPr>
          <w:p w:rsidR="00BA072D" w:rsidRPr="00367FA3" w:rsidRDefault="00BA072D" w:rsidP="005A43F8">
            <w:pPr>
              <w:pStyle w:val="Balk2"/>
              <w:keepNext w:val="0"/>
              <w:numPr>
                <w:ilvl w:val="0"/>
                <w:numId w:val="0"/>
              </w:numPr>
              <w:spacing w:before="0" w:after="0"/>
              <w:jc w:val="both"/>
              <w:rPr>
                <w:rFonts w:ascii="Century" w:hAnsi="Century"/>
                <w:i w:val="0"/>
                <w:sz w:val="24"/>
                <w:szCs w:val="24"/>
                <w:highlight w:val="yellow"/>
                <w:lang w:val="tr-TR"/>
              </w:rPr>
            </w:pPr>
          </w:p>
        </w:tc>
        <w:tc>
          <w:tcPr>
            <w:tcW w:w="236" w:type="dxa"/>
            <w:gridSpan w:val="2"/>
          </w:tcPr>
          <w:p w:rsidR="00BA072D" w:rsidRPr="00367FA3" w:rsidRDefault="00BA072D" w:rsidP="008D17FE">
            <w:pPr>
              <w:rPr>
                <w:rFonts w:ascii="Century" w:hAnsi="Century"/>
                <w:highlight w:val="yellow"/>
                <w:lang w:val="tr-TR"/>
              </w:rPr>
            </w:pPr>
          </w:p>
        </w:tc>
        <w:tc>
          <w:tcPr>
            <w:tcW w:w="4804" w:type="dxa"/>
          </w:tcPr>
          <w:p w:rsidR="00BA072D" w:rsidRPr="00367FA3" w:rsidRDefault="00BA072D" w:rsidP="008D17FE">
            <w:pPr>
              <w:rPr>
                <w:rFonts w:ascii="Century" w:hAnsi="Century"/>
                <w:highlight w:val="yellow"/>
                <w:lang w:val="tr-TR"/>
              </w:rPr>
            </w:pPr>
          </w:p>
        </w:tc>
      </w:tr>
      <w:tr w:rsidR="00D86152" w:rsidRPr="00367FA3">
        <w:tc>
          <w:tcPr>
            <w:tcW w:w="4815" w:type="dxa"/>
            <w:gridSpan w:val="2"/>
          </w:tcPr>
          <w:p w:rsidR="00500630" w:rsidRPr="00367FA3" w:rsidRDefault="00500630" w:rsidP="005A43F8">
            <w:pPr>
              <w:pStyle w:val="Balk2"/>
              <w:keepNext w:val="0"/>
              <w:numPr>
                <w:ilvl w:val="0"/>
                <w:numId w:val="0"/>
              </w:numPr>
              <w:spacing w:before="0" w:after="0"/>
              <w:jc w:val="both"/>
              <w:rPr>
                <w:rFonts w:ascii="Century" w:hAnsi="Century"/>
                <w:i w:val="0"/>
                <w:sz w:val="24"/>
                <w:szCs w:val="24"/>
                <w:highlight w:val="yellow"/>
                <w:lang w:val="tr-TR"/>
              </w:rPr>
            </w:pPr>
            <w:bookmarkStart w:id="149" w:name="_Toc170253102"/>
          </w:p>
          <w:p w:rsidR="00D623A1" w:rsidRPr="00897717" w:rsidRDefault="00325A72" w:rsidP="00325A72">
            <w:pPr>
              <w:pStyle w:val="Balk2"/>
              <w:keepNext w:val="0"/>
              <w:numPr>
                <w:ilvl w:val="0"/>
                <w:numId w:val="0"/>
              </w:numPr>
              <w:tabs>
                <w:tab w:val="left" w:pos="612"/>
              </w:tabs>
              <w:spacing w:before="0" w:after="0"/>
              <w:ind w:left="612" w:hanging="612"/>
              <w:jc w:val="both"/>
              <w:rPr>
                <w:rFonts w:ascii="Century" w:hAnsi="Century"/>
                <w:i w:val="0"/>
                <w:sz w:val="24"/>
                <w:szCs w:val="24"/>
                <w:lang w:val="tr-TR"/>
              </w:rPr>
            </w:pPr>
            <w:bookmarkStart w:id="150" w:name="_Toc198287717"/>
            <w:bookmarkStart w:id="151" w:name="_Toc199251264"/>
            <w:r w:rsidRPr="00897717">
              <w:rPr>
                <w:rFonts w:ascii="Century" w:hAnsi="Century"/>
                <w:i w:val="0"/>
                <w:sz w:val="24"/>
                <w:szCs w:val="24"/>
                <w:lang w:val="tr-TR"/>
              </w:rPr>
              <w:t xml:space="preserve">2.6. </w:t>
            </w:r>
            <w:r w:rsidR="00D623A1" w:rsidRPr="00897717">
              <w:rPr>
                <w:rFonts w:ascii="Century" w:hAnsi="Century"/>
                <w:i w:val="0"/>
                <w:sz w:val="24"/>
                <w:szCs w:val="24"/>
                <w:lang w:val="tr-TR"/>
              </w:rPr>
              <w:t>Tarı</w:t>
            </w:r>
            <w:r w:rsidR="00173EB0" w:rsidRPr="00897717">
              <w:rPr>
                <w:rFonts w:ascii="Century" w:hAnsi="Century"/>
                <w:i w:val="0"/>
                <w:sz w:val="24"/>
                <w:szCs w:val="24"/>
                <w:lang w:val="tr-TR"/>
              </w:rPr>
              <w:t>m Sigortaları Havuz İşletmesi AŞ</w:t>
            </w:r>
            <w:r w:rsidR="00D623A1" w:rsidRPr="00897717">
              <w:rPr>
                <w:rFonts w:ascii="Century" w:hAnsi="Century"/>
                <w:i w:val="0"/>
                <w:sz w:val="24"/>
                <w:szCs w:val="24"/>
                <w:lang w:val="tr-TR"/>
              </w:rPr>
              <w:t xml:space="preserve"> (TARSİM</w:t>
            </w:r>
            <w:bookmarkEnd w:id="149"/>
            <w:r w:rsidR="00A9128F" w:rsidRPr="00897717">
              <w:rPr>
                <w:rFonts w:ascii="Century" w:hAnsi="Century"/>
                <w:i w:val="0"/>
                <w:sz w:val="24"/>
                <w:szCs w:val="24"/>
                <w:lang w:val="tr-TR"/>
              </w:rPr>
              <w:t>)</w:t>
            </w:r>
            <w:bookmarkEnd w:id="150"/>
            <w:bookmarkEnd w:id="151"/>
          </w:p>
          <w:p w:rsidR="00A9128F" w:rsidRPr="00367FA3" w:rsidRDefault="00A9128F" w:rsidP="00A9128F">
            <w:pPr>
              <w:rPr>
                <w:highlight w:val="yellow"/>
                <w:lang w:val="tr-TR"/>
              </w:rPr>
            </w:pPr>
          </w:p>
          <w:p w:rsidR="00D623A1" w:rsidRPr="00897717" w:rsidRDefault="00D623A1" w:rsidP="005A43F8">
            <w:pPr>
              <w:pStyle w:val="NormalWeb"/>
              <w:spacing w:before="0" w:beforeAutospacing="0" w:after="0" w:afterAutospacing="0"/>
              <w:jc w:val="both"/>
              <w:rPr>
                <w:rFonts w:ascii="Century" w:hAnsi="Century"/>
              </w:rPr>
            </w:pPr>
            <w:r w:rsidRPr="00897717">
              <w:rPr>
                <w:rFonts w:ascii="Century" w:hAnsi="Century"/>
              </w:rPr>
              <w:t>Ülkemizde tarım sektörünü tehdit eden risklerin teminat altına alınabilmesi amacıyla 5363 sayılı "Tarım Sigortaları Kanunu" çıkarılmıştır.</w:t>
            </w:r>
            <w:r w:rsidR="005D03EF" w:rsidRPr="00897717">
              <w:rPr>
                <w:rFonts w:ascii="Century" w:hAnsi="Century"/>
              </w:rPr>
              <w:t xml:space="preserve"> </w:t>
            </w:r>
            <w:r w:rsidRPr="00897717">
              <w:rPr>
                <w:rFonts w:ascii="Century" w:hAnsi="Century"/>
              </w:rPr>
              <w:t>Bu Kanuna göre:</w:t>
            </w:r>
          </w:p>
          <w:p w:rsidR="005A43F8" w:rsidRPr="00897717" w:rsidRDefault="005A43F8" w:rsidP="005A43F8">
            <w:pPr>
              <w:pStyle w:val="NormalWeb"/>
              <w:spacing w:before="0" w:beforeAutospacing="0" w:after="0" w:afterAutospacing="0"/>
              <w:jc w:val="both"/>
              <w:rPr>
                <w:rFonts w:ascii="Century" w:hAnsi="Century"/>
              </w:rPr>
            </w:pPr>
          </w:p>
          <w:p w:rsidR="00D623A1" w:rsidRPr="00897717" w:rsidRDefault="00D623A1" w:rsidP="00D15063">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t xml:space="preserve"> </w:t>
            </w:r>
            <w:r w:rsidR="00B35C59" w:rsidRPr="00897717">
              <w:rPr>
                <w:rFonts w:ascii="Century" w:hAnsi="Century"/>
              </w:rPr>
              <w:t>S</w:t>
            </w:r>
            <w:r w:rsidRPr="00897717">
              <w:rPr>
                <w:rFonts w:ascii="Century" w:hAnsi="Century"/>
              </w:rPr>
              <w:t>igorta sözleşmelerinde standardın sağlanması,</w:t>
            </w:r>
          </w:p>
          <w:p w:rsidR="00D623A1" w:rsidRDefault="00D623A1" w:rsidP="00D15063">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t>Riskin en iyi koşullarda transferi için uygun ortam oluşturulması,</w:t>
            </w:r>
          </w:p>
          <w:p w:rsidR="00600A19" w:rsidRPr="00897717" w:rsidRDefault="00600A19" w:rsidP="00600A19">
            <w:pPr>
              <w:pStyle w:val="NormalWeb"/>
              <w:spacing w:before="0" w:beforeAutospacing="0" w:after="0" w:afterAutospacing="0"/>
              <w:jc w:val="both"/>
              <w:rPr>
                <w:rFonts w:ascii="Century" w:hAnsi="Century"/>
              </w:rPr>
            </w:pPr>
          </w:p>
          <w:p w:rsidR="00D623A1" w:rsidRPr="00897717" w:rsidRDefault="00D623A1" w:rsidP="00D15063">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lastRenderedPageBreak/>
              <w:t>Oluşacak hasarlarda tazminatın tek merkezden ödenmesi</w:t>
            </w:r>
            <w:r w:rsidR="007A2742" w:rsidRPr="00897717">
              <w:rPr>
                <w:rFonts w:ascii="Century" w:hAnsi="Century"/>
              </w:rPr>
              <w:t>,</w:t>
            </w:r>
          </w:p>
          <w:p w:rsidR="00F9217F" w:rsidRDefault="00D623A1" w:rsidP="00F9217F">
            <w:pPr>
              <w:pStyle w:val="NormalWeb"/>
              <w:numPr>
                <w:ilvl w:val="0"/>
                <w:numId w:val="4"/>
              </w:numPr>
              <w:tabs>
                <w:tab w:val="clear" w:pos="720"/>
                <w:tab w:val="num" w:pos="252"/>
              </w:tabs>
              <w:spacing w:before="0" w:beforeAutospacing="0" w:after="0" w:afterAutospacing="0"/>
              <w:ind w:left="0" w:firstLine="0"/>
              <w:jc w:val="both"/>
              <w:rPr>
                <w:rFonts w:ascii="Century" w:hAnsi="Century"/>
              </w:rPr>
            </w:pPr>
            <w:r w:rsidRPr="00897717">
              <w:rPr>
                <w:rFonts w:ascii="Century" w:hAnsi="Century"/>
              </w:rPr>
              <w:t>Tarım sigortalarının geliştirilmesi ve yaygınlaştırılması</w:t>
            </w:r>
            <w:r w:rsidR="006877AA" w:rsidRPr="00897717">
              <w:rPr>
                <w:rFonts w:ascii="Century" w:hAnsi="Century"/>
              </w:rPr>
              <w:t xml:space="preserve"> </w:t>
            </w:r>
            <w:r w:rsidRPr="00897717">
              <w:rPr>
                <w:rFonts w:ascii="Century" w:hAnsi="Century"/>
              </w:rPr>
              <w:t>amacına yönelik ol</w:t>
            </w:r>
            <w:r w:rsidR="00AE1D62" w:rsidRPr="00897717">
              <w:rPr>
                <w:rFonts w:ascii="Century" w:hAnsi="Century"/>
              </w:rPr>
              <w:t>m</w:t>
            </w:r>
            <w:r w:rsidRPr="00897717">
              <w:rPr>
                <w:rFonts w:ascii="Century" w:hAnsi="Century"/>
              </w:rPr>
              <w:t xml:space="preserve">ak üzere </w:t>
            </w:r>
          </w:p>
          <w:p w:rsidR="00F9217F" w:rsidRDefault="00F9217F" w:rsidP="00F9217F">
            <w:pPr>
              <w:pStyle w:val="NormalWeb"/>
              <w:spacing w:before="0" w:beforeAutospacing="0" w:after="0" w:afterAutospacing="0"/>
              <w:jc w:val="both"/>
              <w:rPr>
                <w:rFonts w:ascii="Century" w:hAnsi="Century"/>
              </w:rPr>
            </w:pPr>
          </w:p>
          <w:p w:rsidR="00D623A1" w:rsidRPr="00897717" w:rsidRDefault="00D623A1" w:rsidP="00F9217F">
            <w:pPr>
              <w:pStyle w:val="NormalWeb"/>
              <w:spacing w:before="0" w:beforeAutospacing="0" w:after="0" w:afterAutospacing="0"/>
              <w:jc w:val="both"/>
              <w:rPr>
                <w:rFonts w:ascii="Century" w:hAnsi="Century"/>
              </w:rPr>
            </w:pPr>
            <w:r w:rsidRPr="00897717">
              <w:rPr>
                <w:rFonts w:ascii="Century" w:hAnsi="Century"/>
              </w:rPr>
              <w:t>sigorta havuzu kurulmuştur.</w:t>
            </w:r>
          </w:p>
          <w:p w:rsidR="001E10B0" w:rsidRDefault="001E10B0" w:rsidP="001E10B0">
            <w:pPr>
              <w:pStyle w:val="NormalWeb"/>
              <w:spacing w:before="0" w:beforeAutospacing="0" w:after="0" w:afterAutospacing="0"/>
              <w:jc w:val="both"/>
              <w:rPr>
                <w:rFonts w:ascii="Century" w:hAnsi="Century"/>
              </w:rPr>
            </w:pPr>
          </w:p>
          <w:p w:rsidR="00AF4542" w:rsidRPr="00BA072D" w:rsidRDefault="001E10B0" w:rsidP="00BA072D">
            <w:pPr>
              <w:pStyle w:val="NormalWeb"/>
              <w:spacing w:before="0" w:beforeAutospacing="0" w:after="0" w:afterAutospacing="0"/>
              <w:jc w:val="both"/>
              <w:rPr>
                <w:rFonts w:ascii="Century" w:hAnsi="Century"/>
              </w:rPr>
            </w:pPr>
            <w:r w:rsidRPr="00897717">
              <w:rPr>
                <w:rFonts w:ascii="Century" w:hAnsi="Century"/>
              </w:rPr>
              <w:t xml:space="preserve">Sigorta şirketleri sigorta poliçelerini kendi adlarına düzenlemekte, ancak riski ve primin % 100’ünü zorunlu olarak Havuza devretmektedirler. Devlet, 5363 sayılı Kanun kapsamında yapılacak sözleşmelere çiftçi adına prim desteği sağlamaktadır. Prim desteğinin miktarı her yıl için ürün, risk, bölge ve işletme ölçekleri itibariyle Bakanlar Kurulu Kararı ile belirlenmektedir. </w:t>
            </w:r>
            <w:r w:rsidR="00D623A1" w:rsidRPr="00F63B79">
              <w:rPr>
                <w:rFonts w:ascii="Century" w:hAnsi="Century"/>
              </w:rPr>
              <w:t>Havuza ilişkin tüm iş ve işlemler, havuza katılan şirketlerin eşit hisse</w:t>
            </w:r>
            <w:r w:rsidR="00AE1D62" w:rsidRPr="00F63B79">
              <w:rPr>
                <w:rFonts w:ascii="Century" w:hAnsi="Century"/>
              </w:rPr>
              <w:t xml:space="preserve"> ile</w:t>
            </w:r>
            <w:r w:rsidR="00D623A1" w:rsidRPr="00F63B79">
              <w:rPr>
                <w:rFonts w:ascii="Century" w:hAnsi="Century"/>
              </w:rPr>
              <w:t xml:space="preserve"> ortak oldukları Tarım Sigortaları Havuz İşletmesi </w:t>
            </w:r>
            <w:r w:rsidR="00A55CF3" w:rsidRPr="00F63B79">
              <w:rPr>
                <w:rFonts w:ascii="Century" w:hAnsi="Century"/>
                <w:sz w:val="22"/>
                <w:szCs w:val="22"/>
              </w:rPr>
              <w:t>A</w:t>
            </w:r>
            <w:r w:rsidR="00D623A1" w:rsidRPr="00F63B79">
              <w:rPr>
                <w:rFonts w:ascii="Century" w:hAnsi="Century"/>
                <w:sz w:val="22"/>
                <w:szCs w:val="22"/>
              </w:rPr>
              <w:t>Ş</w:t>
            </w:r>
            <w:r w:rsidR="00D623A1" w:rsidRPr="00F63B79">
              <w:rPr>
                <w:rFonts w:ascii="Century" w:hAnsi="Century"/>
              </w:rPr>
              <w:t xml:space="preserve"> tarafından </w:t>
            </w:r>
            <w:r w:rsidR="00D623A1" w:rsidRPr="00F63B79">
              <w:rPr>
                <w:rFonts w:ascii="Century" w:hAnsi="Century"/>
                <w:sz w:val="22"/>
                <w:szCs w:val="22"/>
              </w:rPr>
              <w:t>yürütülmektedir.</w:t>
            </w:r>
            <w:r w:rsidR="00D623A1" w:rsidRPr="00F63B79">
              <w:rPr>
                <w:rFonts w:ascii="Century" w:hAnsi="Century"/>
              </w:rPr>
              <w:t xml:space="preserve"> </w:t>
            </w:r>
            <w:r w:rsidR="00AE1D62" w:rsidRPr="00F63B79">
              <w:rPr>
                <w:rFonts w:ascii="Century" w:hAnsi="Century"/>
              </w:rPr>
              <w:t>Ü</w:t>
            </w:r>
            <w:r w:rsidR="00D623A1" w:rsidRPr="00F63B79">
              <w:rPr>
                <w:rFonts w:ascii="Century" w:hAnsi="Century"/>
              </w:rPr>
              <w:t>ye şirket</w:t>
            </w:r>
            <w:r w:rsidR="0096397B" w:rsidRPr="00F63B79">
              <w:rPr>
                <w:rFonts w:ascii="Century" w:hAnsi="Century"/>
              </w:rPr>
              <w:t>ler</w:t>
            </w:r>
            <w:r>
              <w:rPr>
                <w:rFonts w:ascii="Century" w:hAnsi="Century"/>
              </w:rPr>
              <w:t xml:space="preserve"> ve </w:t>
            </w:r>
            <w:r w:rsidR="00D80B69">
              <w:rPr>
                <w:rFonts w:ascii="Century" w:hAnsi="Century"/>
              </w:rPr>
              <w:t xml:space="preserve">devlet destekli tarım sigortaları </w:t>
            </w:r>
            <w:r>
              <w:rPr>
                <w:rFonts w:ascii="Century" w:hAnsi="Century"/>
              </w:rPr>
              <w:t>direk prim üretimleri aşağıdaki tabloda sunulmuştur.</w:t>
            </w:r>
          </w:p>
        </w:tc>
        <w:tc>
          <w:tcPr>
            <w:tcW w:w="236" w:type="dxa"/>
            <w:gridSpan w:val="2"/>
          </w:tcPr>
          <w:p w:rsidR="00D86152" w:rsidRPr="00367FA3" w:rsidRDefault="00D86152" w:rsidP="008D17FE">
            <w:pPr>
              <w:rPr>
                <w:rFonts w:ascii="Century" w:hAnsi="Century"/>
                <w:highlight w:val="yellow"/>
                <w:lang w:val="tr-TR"/>
              </w:rPr>
            </w:pPr>
          </w:p>
        </w:tc>
        <w:tc>
          <w:tcPr>
            <w:tcW w:w="4804" w:type="dxa"/>
          </w:tcPr>
          <w:p w:rsidR="00D86152" w:rsidRPr="00367FA3" w:rsidRDefault="00D86152" w:rsidP="008D17FE">
            <w:pPr>
              <w:rPr>
                <w:rFonts w:ascii="Century" w:hAnsi="Century"/>
                <w:highlight w:val="yellow"/>
                <w:lang w:val="tr-TR"/>
              </w:rPr>
            </w:pPr>
          </w:p>
          <w:p w:rsidR="00E80C35" w:rsidRPr="007D2BFC" w:rsidRDefault="00E80C35" w:rsidP="00E80C35">
            <w:pPr>
              <w:rPr>
                <w:rFonts w:ascii="Century" w:hAnsi="Century"/>
                <w:b/>
                <w:color w:val="404040"/>
                <w:lang w:val="tr-TR"/>
              </w:rPr>
            </w:pPr>
            <w:bookmarkStart w:id="152" w:name="_Toc170569811"/>
            <w:r w:rsidRPr="007D2BFC">
              <w:rPr>
                <w:rFonts w:ascii="Century" w:hAnsi="Century"/>
                <w:b/>
                <w:color w:val="404040"/>
                <w:lang w:val="tr-TR"/>
              </w:rPr>
              <w:t>2.6. Agricultural Insurance Pool (TARS</w:t>
            </w:r>
            <w:r w:rsidR="002D03B6" w:rsidRPr="007D2BFC">
              <w:rPr>
                <w:rFonts w:ascii="Century" w:hAnsi="Century"/>
                <w:b/>
                <w:color w:val="404040"/>
                <w:lang w:val="tr-TR"/>
              </w:rPr>
              <w:t>I</w:t>
            </w:r>
            <w:r w:rsidRPr="007D2BFC">
              <w:rPr>
                <w:rFonts w:ascii="Century" w:hAnsi="Century"/>
                <w:b/>
                <w:color w:val="404040"/>
                <w:lang w:val="tr-TR"/>
              </w:rPr>
              <w:t>M)</w:t>
            </w:r>
            <w:bookmarkEnd w:id="152"/>
          </w:p>
          <w:p w:rsidR="00E80C35" w:rsidRPr="007D2BFC" w:rsidRDefault="00E80C35" w:rsidP="00E80C35">
            <w:pPr>
              <w:pStyle w:val="NormalWeb"/>
              <w:jc w:val="both"/>
              <w:rPr>
                <w:rFonts w:ascii="Century" w:hAnsi="Century"/>
                <w:color w:val="404040"/>
              </w:rPr>
            </w:pPr>
            <w:r w:rsidRPr="007D2BFC">
              <w:rPr>
                <w:rFonts w:ascii="Century" w:hAnsi="Century"/>
                <w:color w:val="404040"/>
              </w:rPr>
              <w:t>In order to provide the coverage the risks threatening the agricultural industry Agricultural Insurance Code No.5363 was enforced</w:t>
            </w:r>
            <w:r w:rsidR="00600A19">
              <w:rPr>
                <w:rFonts w:ascii="Century" w:hAnsi="Century"/>
                <w:color w:val="404040"/>
              </w:rPr>
              <w:t>.</w:t>
            </w:r>
            <w:r w:rsidRPr="007D2BFC">
              <w:rPr>
                <w:rFonts w:ascii="Century" w:hAnsi="Century"/>
                <w:color w:val="404040"/>
              </w:rPr>
              <w:t xml:space="preserve"> Due to Law, Insurance Pool is established to;</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a)Introduce standard provisions in insurance contracts</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 xml:space="preserve">b)Establish the conditions for transferring risk under reasonable </w:t>
            </w:r>
            <w:r w:rsidRPr="007D2BFC">
              <w:rPr>
                <w:rFonts w:ascii="Century" w:hAnsi="Century"/>
                <w:color w:val="404040"/>
              </w:rPr>
              <w:lastRenderedPageBreak/>
              <w:t>conditions</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c)Ensure centralized payment of the indemnification upon occurence of the risk</w:t>
            </w:r>
          </w:p>
          <w:p w:rsidR="00E80C35" w:rsidRPr="007D2BFC" w:rsidRDefault="00E80C35" w:rsidP="00D15063">
            <w:pPr>
              <w:pStyle w:val="NormalWeb"/>
              <w:numPr>
                <w:ilvl w:val="0"/>
                <w:numId w:val="17"/>
              </w:numPr>
              <w:spacing w:before="0" w:beforeAutospacing="0" w:after="0" w:afterAutospacing="0"/>
              <w:ind w:left="0"/>
              <w:jc w:val="both"/>
              <w:rPr>
                <w:rFonts w:ascii="Century" w:hAnsi="Century"/>
                <w:color w:val="404040"/>
              </w:rPr>
            </w:pPr>
            <w:r w:rsidRPr="007D2BFC">
              <w:rPr>
                <w:rFonts w:ascii="Century" w:hAnsi="Century"/>
                <w:color w:val="404040"/>
              </w:rPr>
              <w:t xml:space="preserve">d)Improve and popularize the agricultural insurances </w:t>
            </w:r>
          </w:p>
          <w:p w:rsidR="001E10B0" w:rsidRDefault="001E10B0" w:rsidP="001E10B0">
            <w:pPr>
              <w:jc w:val="both"/>
              <w:rPr>
                <w:rFonts w:ascii="Century" w:hAnsi="Century"/>
                <w:color w:val="404040"/>
              </w:rPr>
            </w:pPr>
          </w:p>
          <w:p w:rsidR="00F9217F" w:rsidRPr="007D2BFC" w:rsidRDefault="00F9217F" w:rsidP="001E10B0">
            <w:pPr>
              <w:jc w:val="both"/>
              <w:rPr>
                <w:rFonts w:ascii="Century" w:hAnsi="Century"/>
                <w:color w:val="404040"/>
              </w:rPr>
            </w:pPr>
          </w:p>
          <w:p w:rsidR="00797D7A" w:rsidRPr="007D2BFC" w:rsidRDefault="001E10B0" w:rsidP="00BA072D">
            <w:pPr>
              <w:jc w:val="both"/>
              <w:rPr>
                <w:rFonts w:ascii="Century" w:hAnsi="Century"/>
                <w:color w:val="404040"/>
              </w:rPr>
            </w:pPr>
            <w:r w:rsidRPr="007D2BFC">
              <w:rPr>
                <w:rFonts w:ascii="Century" w:hAnsi="Century"/>
                <w:color w:val="404040"/>
              </w:rPr>
              <w:t xml:space="preserve">The companies issue insurance contracts with their own name but all risks with the premiums thereof have to be transferred to the Pool. The Government contribution exclusively to insurance contracts executed under the Code No.5363 in terms of premium on behalf of the farmers. Premium contribution is determined by Council of Ministers on annual basis with respect to the crops, risk, region and premises scale. </w:t>
            </w:r>
            <w:r w:rsidR="00E80C35" w:rsidRPr="007D2BFC">
              <w:rPr>
                <w:rFonts w:ascii="Century" w:hAnsi="Century"/>
                <w:color w:val="404040"/>
              </w:rPr>
              <w:t xml:space="preserve">TARSIM, established with equal share as a corporation by the insurance companies, carries out all task of the Pool. </w:t>
            </w:r>
            <w:r w:rsidRPr="007D2BFC">
              <w:rPr>
                <w:rFonts w:ascii="Century" w:hAnsi="Century"/>
                <w:color w:val="404040"/>
              </w:rPr>
              <w:t xml:space="preserve">Member companies of the Pool and their premium </w:t>
            </w:r>
            <w:r w:rsidR="002B481B" w:rsidRPr="007D2BFC">
              <w:rPr>
                <w:rFonts w:ascii="Century" w:hAnsi="Century"/>
                <w:color w:val="404040"/>
              </w:rPr>
              <w:t xml:space="preserve">volume </w:t>
            </w:r>
            <w:r w:rsidRPr="007D2BFC">
              <w:rPr>
                <w:rFonts w:ascii="Century" w:hAnsi="Century"/>
                <w:color w:val="404040"/>
              </w:rPr>
              <w:t xml:space="preserve">are </w:t>
            </w:r>
            <w:r w:rsidR="002B481B" w:rsidRPr="007D2BFC">
              <w:rPr>
                <w:rFonts w:ascii="Century" w:hAnsi="Century"/>
                <w:color w:val="404040"/>
              </w:rPr>
              <w:t>shown below.</w:t>
            </w:r>
          </w:p>
          <w:p w:rsidR="00797D7A" w:rsidRPr="007D2BFC" w:rsidRDefault="00797D7A" w:rsidP="00FD1596">
            <w:pPr>
              <w:jc w:val="both"/>
              <w:rPr>
                <w:rFonts w:ascii="Century" w:hAnsi="Century"/>
                <w:color w:val="404040"/>
              </w:rPr>
            </w:pPr>
          </w:p>
          <w:p w:rsidR="00797D7A" w:rsidRPr="00367FA3" w:rsidRDefault="00797D7A" w:rsidP="00FD1596">
            <w:pPr>
              <w:jc w:val="both"/>
              <w:rPr>
                <w:rFonts w:ascii="Century" w:hAnsi="Century"/>
                <w:b/>
                <w:color w:val="595959"/>
                <w:highlight w:val="yellow"/>
                <w:lang w:val="tr-TR"/>
              </w:rPr>
            </w:pPr>
          </w:p>
        </w:tc>
      </w:tr>
      <w:tr w:rsidR="00D86152" w:rsidRPr="001E2EE1">
        <w:tc>
          <w:tcPr>
            <w:tcW w:w="9855" w:type="dxa"/>
            <w:gridSpan w:val="5"/>
          </w:tcPr>
          <w:p w:rsidR="00BA072D" w:rsidRPr="00E834DA" w:rsidRDefault="00BA072D" w:rsidP="00BA072D">
            <w:pPr>
              <w:pStyle w:val="ResimYazs"/>
              <w:rPr>
                <w:rFonts w:ascii="Century" w:hAnsi="Century"/>
                <w:i/>
                <w:iCs/>
                <w:lang w:val="tr-TR"/>
              </w:rPr>
            </w:pPr>
            <w:r w:rsidRPr="00E834DA">
              <w:rPr>
                <w:rFonts w:ascii="Century" w:hAnsi="Century"/>
                <w:lang w:val="tr-TR"/>
              </w:rPr>
              <w:lastRenderedPageBreak/>
              <w:t>Tablo 2.6</w:t>
            </w:r>
            <w:r w:rsidRPr="00E834DA">
              <w:rPr>
                <w:rFonts w:ascii="Century" w:hAnsi="Century"/>
                <w:lang w:val="tr-TR"/>
              </w:rPr>
              <w:noBreakHyphen/>
              <w:t>1; 2</w:t>
            </w:r>
            <w:r w:rsidR="00071F8E" w:rsidRPr="00E834DA">
              <w:rPr>
                <w:rFonts w:ascii="Century" w:hAnsi="Century"/>
                <w:lang w:val="tr-TR"/>
              </w:rPr>
              <w:t>0</w:t>
            </w:r>
            <w:r w:rsidRPr="00E834DA">
              <w:rPr>
                <w:rFonts w:ascii="Century" w:hAnsi="Century"/>
                <w:lang w:val="tr-TR"/>
              </w:rPr>
              <w:t xml:space="preserve">07 </w:t>
            </w:r>
            <w:r w:rsidR="00071F8E" w:rsidRPr="00E834DA">
              <w:rPr>
                <w:rFonts w:ascii="Century" w:hAnsi="Century"/>
                <w:lang w:val="tr-TR"/>
              </w:rPr>
              <w:t xml:space="preserve">Yılı Şirket Bazında Prim Üretimi </w:t>
            </w:r>
            <w:r w:rsidRPr="00E834DA">
              <w:rPr>
                <w:rFonts w:ascii="Century" w:hAnsi="Century"/>
                <w:lang w:val="tr-TR"/>
              </w:rPr>
              <w:t>-</w:t>
            </w:r>
            <w:r w:rsidR="00071F8E" w:rsidRPr="00E834DA">
              <w:rPr>
                <w:rFonts w:ascii="Century" w:hAnsi="Century"/>
                <w:lang w:val="tr-TR"/>
              </w:rPr>
              <w:t xml:space="preserve"> </w:t>
            </w:r>
            <w:r w:rsidRPr="00E834DA">
              <w:rPr>
                <w:rFonts w:ascii="Century" w:hAnsi="Century"/>
                <w:b w:val="0"/>
                <w:i/>
                <w:sz w:val="18"/>
                <w:szCs w:val="18"/>
                <w:lang w:val="tr-TR"/>
              </w:rPr>
              <w:t xml:space="preserve">Premium Volume </w:t>
            </w:r>
            <w:r w:rsidR="00071F8E" w:rsidRPr="00E834DA">
              <w:rPr>
                <w:rFonts w:ascii="Century" w:hAnsi="Century"/>
                <w:b w:val="0"/>
                <w:i/>
                <w:sz w:val="18"/>
                <w:szCs w:val="18"/>
                <w:lang w:val="tr-TR"/>
              </w:rPr>
              <w:t>as Company for</w:t>
            </w:r>
            <w:r w:rsidRPr="00E834DA">
              <w:rPr>
                <w:rFonts w:ascii="Century" w:hAnsi="Century"/>
                <w:b w:val="0"/>
                <w:i/>
                <w:iCs/>
                <w:lang w:val="tr-TR"/>
              </w:rPr>
              <w:t xml:space="preserve"> 2007</w:t>
            </w:r>
          </w:p>
          <w:p w:rsidR="00BA072D" w:rsidRPr="008856CC" w:rsidRDefault="008856CC" w:rsidP="00BA072D">
            <w:pPr>
              <w:pStyle w:val="ResimYazs"/>
              <w:jc w:val="center"/>
              <w:rPr>
                <w:rFonts w:ascii="Century" w:hAnsi="Century"/>
                <w:lang w:val="tr-TR"/>
              </w:rPr>
            </w:pPr>
            <w:r w:rsidRPr="008856CC">
              <w:rPr>
                <w:rFonts w:ascii="Century" w:hAnsi="Century"/>
                <w:lang w:val="tr-TR"/>
              </w:rPr>
              <w:pict>
                <v:shape id="_x0000_i1096" type="#_x0000_t75" style="width:447pt;height:303pt">
                  <v:imagedata r:id="rId86" o:title=""/>
                </v:shape>
              </w:pict>
            </w:r>
          </w:p>
          <w:tbl>
            <w:tblPr>
              <w:tblW w:w="9855" w:type="dxa"/>
              <w:tblLayout w:type="fixed"/>
              <w:tblLook w:val="04A0" w:firstRow="1" w:lastRow="0" w:firstColumn="1" w:lastColumn="0" w:noHBand="0" w:noVBand="1"/>
            </w:tblPr>
            <w:tblGrid>
              <w:gridCol w:w="4815"/>
              <w:gridCol w:w="236"/>
              <w:gridCol w:w="4804"/>
            </w:tblGrid>
            <w:tr w:rsidR="00BA072D" w:rsidRPr="00E834DA">
              <w:tc>
                <w:tcPr>
                  <w:tcW w:w="4815" w:type="dxa"/>
                </w:tcPr>
                <w:p w:rsidR="00BA072D" w:rsidRPr="00E834DA" w:rsidRDefault="00BA072D" w:rsidP="00280690">
                  <w:pPr>
                    <w:jc w:val="both"/>
                    <w:rPr>
                      <w:rFonts w:ascii="Century" w:hAnsi="Century"/>
                      <w:lang w:val="tr-TR"/>
                    </w:rPr>
                  </w:pPr>
                  <w:r w:rsidRPr="00E834DA">
                    <w:rPr>
                      <w:rFonts w:ascii="Century" w:hAnsi="Century"/>
                      <w:lang w:val="tr-TR"/>
                    </w:rPr>
                    <w:lastRenderedPageBreak/>
                    <w:t>TARSİM’den alınan 01.01.2007-31.12.2007 dönemini kapsayan prim üretimi ve ödenen tazminat tutarları aşağıda, 31.12.2006 ve 31.12.2007 tarihli karşılaştırmalı mali tablolar ise Tablo 52A ve 52B’de verilmiştir.</w:t>
                  </w:r>
                </w:p>
                <w:p w:rsidR="00F55627" w:rsidRPr="00E834DA" w:rsidRDefault="00F55627" w:rsidP="00280690">
                  <w:pPr>
                    <w:jc w:val="both"/>
                    <w:rPr>
                      <w:rFonts w:ascii="Century" w:hAnsi="Century"/>
                      <w:lang w:val="tr-TR"/>
                    </w:rPr>
                  </w:pPr>
                </w:p>
              </w:tc>
              <w:tc>
                <w:tcPr>
                  <w:tcW w:w="236" w:type="dxa"/>
                </w:tcPr>
                <w:p w:rsidR="00BA072D" w:rsidRPr="00E834DA" w:rsidRDefault="00BA072D" w:rsidP="00AA39A9">
                  <w:pPr>
                    <w:rPr>
                      <w:rFonts w:ascii="Century" w:hAnsi="Century"/>
                      <w:lang w:val="tr-TR"/>
                    </w:rPr>
                  </w:pPr>
                </w:p>
              </w:tc>
              <w:tc>
                <w:tcPr>
                  <w:tcW w:w="4804" w:type="dxa"/>
                </w:tcPr>
                <w:p w:rsidR="00BA072D" w:rsidRPr="00E834DA" w:rsidRDefault="00BA072D" w:rsidP="00AA39A9">
                  <w:pPr>
                    <w:pStyle w:val="NormalWeb"/>
                    <w:spacing w:before="0" w:beforeAutospacing="0" w:after="0" w:afterAutospacing="0"/>
                    <w:jc w:val="both"/>
                    <w:rPr>
                      <w:rFonts w:ascii="Century" w:hAnsi="Century"/>
                      <w:color w:val="404040"/>
                    </w:rPr>
                  </w:pPr>
                  <w:r w:rsidRPr="00E834DA">
                    <w:rPr>
                      <w:rFonts w:ascii="Century" w:hAnsi="Century"/>
                      <w:color w:val="404040"/>
                    </w:rPr>
                    <w:t>Premium volume and paid loss of TARSIM for the period 01.01.2007-12.31.2007 are shown in the table below and financial statements are in Tables 52A and 52B.</w:t>
                  </w:r>
                </w:p>
              </w:tc>
            </w:tr>
          </w:tbl>
          <w:p w:rsidR="00797D7A" w:rsidRPr="00E834DA" w:rsidRDefault="00797D7A" w:rsidP="00602ABA">
            <w:pPr>
              <w:pStyle w:val="ResimYazs"/>
              <w:rPr>
                <w:rFonts w:ascii="Century" w:hAnsi="Century"/>
                <w:i/>
                <w:iCs/>
                <w:lang w:val="tr-TR"/>
              </w:rPr>
            </w:pPr>
            <w:r w:rsidRPr="00E834DA">
              <w:rPr>
                <w:rFonts w:ascii="Century" w:hAnsi="Century"/>
                <w:lang w:val="tr-TR"/>
              </w:rPr>
              <w:t xml:space="preserve">Tablo </w:t>
            </w:r>
            <w:r w:rsidR="00FC792B" w:rsidRPr="00E834DA">
              <w:rPr>
                <w:rFonts w:ascii="Century" w:hAnsi="Century"/>
                <w:lang w:val="tr-TR"/>
              </w:rPr>
              <w:t>2.6</w:t>
            </w:r>
            <w:r w:rsidRPr="00E834DA">
              <w:rPr>
                <w:rFonts w:ascii="Century" w:hAnsi="Century"/>
                <w:lang w:val="tr-TR"/>
              </w:rPr>
              <w:noBreakHyphen/>
            </w:r>
            <w:r w:rsidR="00071F8E" w:rsidRPr="00E834DA">
              <w:rPr>
                <w:rFonts w:ascii="Century" w:hAnsi="Century"/>
                <w:lang w:val="tr-TR"/>
              </w:rPr>
              <w:t>2</w:t>
            </w:r>
            <w:r w:rsidRPr="00E834DA">
              <w:rPr>
                <w:rFonts w:ascii="Century" w:hAnsi="Century"/>
                <w:lang w:val="tr-TR"/>
              </w:rPr>
              <w:t xml:space="preserve">; 2006 ve 2007 </w:t>
            </w:r>
            <w:r w:rsidR="00605F8F" w:rsidRPr="00E834DA">
              <w:rPr>
                <w:rFonts w:ascii="Century" w:hAnsi="Century"/>
                <w:lang w:val="tr-TR"/>
              </w:rPr>
              <w:t>Prim ve Ödenen Tazminat-</w:t>
            </w:r>
            <w:r w:rsidR="00605F8F" w:rsidRPr="00E834DA">
              <w:rPr>
                <w:rFonts w:ascii="Century" w:hAnsi="Century"/>
                <w:b w:val="0"/>
                <w:i/>
                <w:sz w:val="18"/>
                <w:szCs w:val="18"/>
                <w:lang w:val="tr-TR"/>
              </w:rPr>
              <w:t>Premium Volume and Paid Loss</w:t>
            </w:r>
            <w:r w:rsidR="00605F8F" w:rsidRPr="00E834DA">
              <w:rPr>
                <w:rFonts w:ascii="Century" w:hAnsi="Century"/>
                <w:lang w:val="tr-TR"/>
              </w:rPr>
              <w:t xml:space="preserve"> </w:t>
            </w:r>
            <w:r w:rsidRPr="00E834DA">
              <w:rPr>
                <w:rFonts w:ascii="Century" w:hAnsi="Century"/>
                <w:b w:val="0"/>
                <w:i/>
                <w:iCs/>
                <w:lang w:val="tr-TR"/>
              </w:rPr>
              <w:t>for 2006 and 2007</w:t>
            </w:r>
          </w:p>
          <w:p w:rsidR="00797D7A" w:rsidRPr="008856CC" w:rsidRDefault="008856CC" w:rsidP="00E21007">
            <w:pPr>
              <w:pStyle w:val="Balk1"/>
              <w:keepNext w:val="0"/>
              <w:numPr>
                <w:ilvl w:val="0"/>
                <w:numId w:val="0"/>
              </w:numPr>
              <w:spacing w:before="100" w:beforeAutospacing="1" w:after="100" w:afterAutospacing="1"/>
              <w:jc w:val="center"/>
              <w:rPr>
                <w:rFonts w:ascii="Century" w:hAnsi="Century"/>
                <w:sz w:val="24"/>
                <w:szCs w:val="24"/>
                <w:lang w:val="tr-TR"/>
              </w:rPr>
            </w:pPr>
            <w:r w:rsidRPr="008856CC">
              <w:rPr>
                <w:rFonts w:ascii="Century" w:hAnsi="Century"/>
                <w:sz w:val="24"/>
                <w:szCs w:val="24"/>
                <w:lang w:val="tr-TR"/>
              </w:rPr>
              <w:pict>
                <v:shape id="_x0000_i1097" type="#_x0000_t75" style="width:481.5pt;height:138pt">
                  <v:imagedata r:id="rId87" o:title=""/>
                </v:shape>
              </w:pict>
            </w:r>
          </w:p>
          <w:tbl>
            <w:tblPr>
              <w:tblW w:w="9855" w:type="dxa"/>
              <w:tblLayout w:type="fixed"/>
              <w:tblLook w:val="04A0" w:firstRow="1" w:lastRow="0" w:firstColumn="1" w:lastColumn="0" w:noHBand="0" w:noVBand="1"/>
            </w:tblPr>
            <w:tblGrid>
              <w:gridCol w:w="4815"/>
              <w:gridCol w:w="236"/>
              <w:gridCol w:w="4804"/>
            </w:tblGrid>
            <w:tr w:rsidR="00CC0DD2" w:rsidRPr="00E834DA">
              <w:tc>
                <w:tcPr>
                  <w:tcW w:w="4815" w:type="dxa"/>
                </w:tcPr>
                <w:p w:rsidR="00CC0DD2" w:rsidRPr="00E834DA" w:rsidRDefault="00CC0DD2" w:rsidP="00CC0DD2">
                  <w:pPr>
                    <w:jc w:val="both"/>
                    <w:rPr>
                      <w:rFonts w:ascii="Century" w:hAnsi="Century"/>
                      <w:lang w:val="tr-TR"/>
                    </w:rPr>
                  </w:pPr>
                  <w:r w:rsidRPr="00E834DA">
                    <w:rPr>
                      <w:rFonts w:ascii="Century" w:hAnsi="Century"/>
                      <w:lang w:val="tr-TR"/>
                    </w:rPr>
                    <w:t xml:space="preserve">Aşağıdaki tabloda 2006 ve 2007 yıllarında </w:t>
                  </w:r>
                  <w:r w:rsidR="0046084F" w:rsidRPr="00E834DA">
                    <w:rPr>
                      <w:rFonts w:ascii="Century" w:hAnsi="Century"/>
                      <w:lang w:val="tr-TR"/>
                    </w:rPr>
                    <w:t xml:space="preserve">devlet destekli tarım sigortası yaptırmış olan </w:t>
                  </w:r>
                  <w:r w:rsidRPr="00E834DA">
                    <w:rPr>
                      <w:rFonts w:ascii="Century" w:hAnsi="Century"/>
                      <w:lang w:val="tr-TR"/>
                    </w:rPr>
                    <w:t>çiftçi</w:t>
                  </w:r>
                  <w:r w:rsidR="0046084F" w:rsidRPr="00E834DA">
                    <w:rPr>
                      <w:rFonts w:ascii="Century" w:hAnsi="Century"/>
                      <w:lang w:val="tr-TR"/>
                    </w:rPr>
                    <w:t xml:space="preserve"> sayısı</w:t>
                  </w:r>
                  <w:r w:rsidRPr="00E834DA">
                    <w:rPr>
                      <w:rFonts w:ascii="Century" w:hAnsi="Century"/>
                      <w:lang w:val="tr-TR"/>
                    </w:rPr>
                    <w:t>, tarım alanı</w:t>
                  </w:r>
                  <w:r w:rsidR="0046084F" w:rsidRPr="00E834DA">
                    <w:rPr>
                      <w:rFonts w:ascii="Century" w:hAnsi="Century"/>
                      <w:lang w:val="tr-TR"/>
                    </w:rPr>
                    <w:t xml:space="preserve"> (dekar) </w:t>
                  </w:r>
                  <w:r w:rsidRPr="00E834DA">
                    <w:rPr>
                      <w:rFonts w:ascii="Century" w:hAnsi="Century"/>
                      <w:lang w:val="tr-TR"/>
                    </w:rPr>
                    <w:t>ve hayvan sayıları verilmiştir.</w:t>
                  </w:r>
                </w:p>
                <w:p w:rsidR="00CC0DD2" w:rsidRPr="00E834DA" w:rsidRDefault="00CC0DD2" w:rsidP="00CD47B6">
                  <w:pPr>
                    <w:rPr>
                      <w:rFonts w:ascii="Century" w:hAnsi="Century"/>
                      <w:lang w:val="tr-TR"/>
                    </w:rPr>
                  </w:pPr>
                </w:p>
              </w:tc>
              <w:tc>
                <w:tcPr>
                  <w:tcW w:w="236" w:type="dxa"/>
                </w:tcPr>
                <w:p w:rsidR="00CC0DD2" w:rsidRPr="00E834DA" w:rsidRDefault="00CC0DD2" w:rsidP="00CD47B6">
                  <w:pPr>
                    <w:rPr>
                      <w:rFonts w:ascii="Century" w:hAnsi="Century"/>
                      <w:lang w:val="tr-TR"/>
                    </w:rPr>
                  </w:pPr>
                </w:p>
              </w:tc>
              <w:tc>
                <w:tcPr>
                  <w:tcW w:w="4804" w:type="dxa"/>
                </w:tcPr>
                <w:p w:rsidR="00CC0DD2" w:rsidRPr="00E834DA" w:rsidRDefault="00CC0EC4" w:rsidP="00605F8F">
                  <w:pPr>
                    <w:pStyle w:val="NormalWeb"/>
                    <w:spacing w:before="0" w:beforeAutospacing="0" w:after="0" w:afterAutospacing="0"/>
                    <w:jc w:val="both"/>
                    <w:rPr>
                      <w:rFonts w:ascii="Century" w:hAnsi="Century"/>
                      <w:color w:val="404040"/>
                    </w:rPr>
                  </w:pPr>
                  <w:r w:rsidRPr="00E834DA">
                    <w:rPr>
                      <w:rFonts w:ascii="Century" w:hAnsi="Century"/>
                      <w:color w:val="404040"/>
                    </w:rPr>
                    <w:t xml:space="preserve">Insured </w:t>
                  </w:r>
                  <w:r w:rsidR="0046084F" w:rsidRPr="00E834DA">
                    <w:rPr>
                      <w:rFonts w:ascii="Century" w:hAnsi="Century"/>
                      <w:color w:val="404040"/>
                    </w:rPr>
                    <w:t>agriculture field in deka</w:t>
                  </w:r>
                  <w:r w:rsidR="00277D5C" w:rsidRPr="00E834DA">
                    <w:rPr>
                      <w:rFonts w:ascii="Century" w:hAnsi="Century"/>
                      <w:color w:val="404040"/>
                    </w:rPr>
                    <w:t>r</w:t>
                  </w:r>
                  <w:r w:rsidR="00AE4AAD" w:rsidRPr="00E834DA">
                    <w:rPr>
                      <w:rFonts w:ascii="Century" w:hAnsi="Century"/>
                      <w:color w:val="404040"/>
                    </w:rPr>
                    <w:t>es</w:t>
                  </w:r>
                  <w:r w:rsidR="0046084F" w:rsidRPr="00E834DA">
                    <w:rPr>
                      <w:rFonts w:ascii="Century" w:hAnsi="Century"/>
                      <w:color w:val="404040"/>
                    </w:rPr>
                    <w:t xml:space="preserve"> (dam</w:t>
                  </w:r>
                  <w:r w:rsidR="00277D5C" w:rsidRPr="00E834DA">
                    <w:rPr>
                      <w:rFonts w:ascii="Century" w:hAnsi="Century"/>
                      <w:color w:val="404040"/>
                      <w:vertAlign w:val="superscript"/>
                    </w:rPr>
                    <w:t>2</w:t>
                  </w:r>
                  <w:r w:rsidR="0046084F" w:rsidRPr="00E834DA">
                    <w:rPr>
                      <w:rFonts w:ascii="Century" w:hAnsi="Century"/>
                      <w:color w:val="404040"/>
                    </w:rPr>
                    <w:t xml:space="preserve">), number of farmers </w:t>
                  </w:r>
                  <w:r w:rsidR="00A35191" w:rsidRPr="00E834DA">
                    <w:rPr>
                      <w:rFonts w:ascii="Century" w:hAnsi="Century"/>
                      <w:color w:val="404040"/>
                    </w:rPr>
                    <w:t xml:space="preserve">who bought </w:t>
                  </w:r>
                  <w:r w:rsidR="00C410EB" w:rsidRPr="00E834DA">
                    <w:rPr>
                      <w:rFonts w:ascii="Century" w:hAnsi="Century"/>
                      <w:color w:val="404040"/>
                    </w:rPr>
                    <w:t xml:space="preserve">subsidized agriculture insurance </w:t>
                  </w:r>
                  <w:r w:rsidR="0046084F" w:rsidRPr="00E834DA">
                    <w:rPr>
                      <w:rFonts w:ascii="Century" w:hAnsi="Century"/>
                      <w:color w:val="404040"/>
                    </w:rPr>
                    <w:t>and number of insured animals for years 2006 and 2007 are shown in the table below.</w:t>
                  </w:r>
                </w:p>
                <w:p w:rsidR="00F55627" w:rsidRPr="00E834DA" w:rsidRDefault="00F55627" w:rsidP="00605F8F">
                  <w:pPr>
                    <w:pStyle w:val="NormalWeb"/>
                    <w:spacing w:before="0" w:beforeAutospacing="0" w:after="0" w:afterAutospacing="0"/>
                    <w:jc w:val="both"/>
                    <w:rPr>
                      <w:rFonts w:ascii="Century" w:hAnsi="Century"/>
                    </w:rPr>
                  </w:pPr>
                </w:p>
              </w:tc>
            </w:tr>
            <w:tr w:rsidR="00CC0DD2" w:rsidRPr="00E834DA">
              <w:tc>
                <w:tcPr>
                  <w:tcW w:w="9855" w:type="dxa"/>
                  <w:gridSpan w:val="3"/>
                </w:tcPr>
                <w:p w:rsidR="00CC0DD2" w:rsidRPr="00E834DA" w:rsidRDefault="00CC0DD2" w:rsidP="00CC0DD2">
                  <w:pPr>
                    <w:pStyle w:val="ResimYazs"/>
                    <w:rPr>
                      <w:rFonts w:ascii="Century" w:hAnsi="Century"/>
                      <w:b w:val="0"/>
                      <w:i/>
                      <w:sz w:val="18"/>
                      <w:szCs w:val="18"/>
                      <w:lang w:val="tr-TR"/>
                    </w:rPr>
                  </w:pPr>
                  <w:r w:rsidRPr="00E834DA">
                    <w:rPr>
                      <w:rFonts w:ascii="Century" w:hAnsi="Century"/>
                      <w:lang w:val="tr-TR"/>
                    </w:rPr>
                    <w:t xml:space="preserve">                          Tablo 2.6</w:t>
                  </w:r>
                  <w:r w:rsidRPr="00E834DA">
                    <w:rPr>
                      <w:rFonts w:ascii="Century" w:hAnsi="Century"/>
                      <w:lang w:val="tr-TR"/>
                    </w:rPr>
                    <w:noBreakHyphen/>
                  </w:r>
                  <w:r w:rsidR="00071F8E" w:rsidRPr="00E834DA">
                    <w:rPr>
                      <w:rFonts w:ascii="Century" w:hAnsi="Century"/>
                      <w:lang w:val="tr-TR"/>
                    </w:rPr>
                    <w:t>3</w:t>
                  </w:r>
                  <w:r w:rsidRPr="00E834DA">
                    <w:rPr>
                      <w:rFonts w:ascii="Century" w:hAnsi="Century"/>
                      <w:lang w:val="tr-TR"/>
                    </w:rPr>
                    <w:t xml:space="preserve">; 2006 ve 2007 Yılı Verileri – </w:t>
                  </w:r>
                  <w:r w:rsidRPr="00E834DA">
                    <w:rPr>
                      <w:rFonts w:ascii="Century" w:hAnsi="Century"/>
                      <w:b w:val="0"/>
                      <w:i/>
                      <w:sz w:val="18"/>
                      <w:szCs w:val="18"/>
                      <w:lang w:val="tr-TR"/>
                    </w:rPr>
                    <w:t>General Data for 2006 and 2007</w:t>
                  </w:r>
                </w:p>
                <w:p w:rsidR="00CC0DD2" w:rsidRPr="00E834DA" w:rsidRDefault="00F55627" w:rsidP="00BA072D">
                  <w:pPr>
                    <w:jc w:val="center"/>
                    <w:rPr>
                      <w:lang w:val="tr-TR"/>
                    </w:rPr>
                  </w:pPr>
                  <w:r w:rsidRPr="00E834DA">
                    <w:rPr>
                      <w:lang w:val="tr-TR"/>
                    </w:rPr>
                    <w:pict>
                      <v:shape id="_x0000_i1098" type="#_x0000_t75" style="width:341.25pt;height:50.25pt">
                        <v:imagedata r:id="rId88" o:title=""/>
                      </v:shape>
                    </w:pict>
                  </w:r>
                </w:p>
              </w:tc>
            </w:tr>
            <w:tr w:rsidR="00CC0DD2" w:rsidRPr="00E834DA">
              <w:tc>
                <w:tcPr>
                  <w:tcW w:w="4815" w:type="dxa"/>
                </w:tcPr>
                <w:p w:rsidR="00CC0DD2" w:rsidRPr="00E834DA" w:rsidRDefault="00CC0DD2" w:rsidP="00CD47B6">
                  <w:pPr>
                    <w:jc w:val="both"/>
                    <w:rPr>
                      <w:rFonts w:ascii="Century" w:hAnsi="Century"/>
                      <w:lang w:val="tr-TR"/>
                    </w:rPr>
                  </w:pPr>
                  <w:bookmarkStart w:id="153" w:name="_Toc170253103"/>
                </w:p>
                <w:p w:rsidR="00CC0DD2" w:rsidRPr="00E834DA" w:rsidRDefault="00CC0DD2" w:rsidP="00CC0DD2">
                  <w:pPr>
                    <w:jc w:val="both"/>
                    <w:rPr>
                      <w:rFonts w:ascii="Century" w:hAnsi="Century"/>
                      <w:lang w:val="tr-TR"/>
                    </w:rPr>
                  </w:pPr>
                  <w:r w:rsidRPr="00E834DA">
                    <w:rPr>
                      <w:rFonts w:ascii="Century" w:hAnsi="Century"/>
                      <w:lang w:val="tr-TR"/>
                    </w:rPr>
                    <w:t xml:space="preserve">Aşağıdaki tabloda ise 2007 yılına </w:t>
                  </w:r>
                  <w:r w:rsidR="00605F8F" w:rsidRPr="00E834DA">
                    <w:rPr>
                      <w:rFonts w:ascii="Century" w:hAnsi="Century"/>
                      <w:lang w:val="tr-TR"/>
                    </w:rPr>
                    <w:t>ilişkin olarak sigortalı çiftçi ve</w:t>
                  </w:r>
                  <w:r w:rsidRPr="00E834DA">
                    <w:rPr>
                      <w:rFonts w:ascii="Century" w:hAnsi="Century"/>
                      <w:lang w:val="tr-TR"/>
                    </w:rPr>
                    <w:t xml:space="preserve"> tarım alanının bölgelere göre dağılımı verilmiştir.</w:t>
                  </w:r>
                </w:p>
                <w:p w:rsidR="00CC0DD2" w:rsidRPr="00E834DA" w:rsidRDefault="00CC0DD2" w:rsidP="00CC0DD2">
                  <w:pPr>
                    <w:jc w:val="both"/>
                    <w:rPr>
                      <w:rFonts w:ascii="Century" w:hAnsi="Century"/>
                      <w:lang w:val="tr-TR"/>
                    </w:rPr>
                  </w:pPr>
                </w:p>
              </w:tc>
              <w:tc>
                <w:tcPr>
                  <w:tcW w:w="236" w:type="dxa"/>
                </w:tcPr>
                <w:p w:rsidR="00CC0DD2" w:rsidRPr="00E834DA" w:rsidRDefault="00CC0DD2" w:rsidP="00CD47B6">
                  <w:pPr>
                    <w:rPr>
                      <w:rFonts w:ascii="Century" w:hAnsi="Century"/>
                      <w:lang w:val="tr-TR"/>
                    </w:rPr>
                  </w:pPr>
                </w:p>
              </w:tc>
              <w:tc>
                <w:tcPr>
                  <w:tcW w:w="4804" w:type="dxa"/>
                </w:tcPr>
                <w:p w:rsidR="00605F8F" w:rsidRPr="00E834DA" w:rsidRDefault="00605F8F" w:rsidP="00605F8F">
                  <w:pPr>
                    <w:pStyle w:val="NormalWeb"/>
                    <w:spacing w:before="0" w:beforeAutospacing="0" w:after="0" w:afterAutospacing="0"/>
                    <w:jc w:val="both"/>
                    <w:rPr>
                      <w:rFonts w:ascii="Century" w:hAnsi="Century"/>
                      <w:color w:val="1C1C1C"/>
                    </w:rPr>
                  </w:pPr>
                </w:p>
                <w:p w:rsidR="00CC0DD2" w:rsidRPr="00E834DA" w:rsidRDefault="00280690" w:rsidP="00605F8F">
                  <w:pPr>
                    <w:pStyle w:val="NormalWeb"/>
                    <w:spacing w:before="0" w:beforeAutospacing="0" w:after="0" w:afterAutospacing="0"/>
                    <w:jc w:val="both"/>
                    <w:rPr>
                      <w:rFonts w:ascii="Century" w:hAnsi="Century"/>
                      <w:color w:val="404040"/>
                    </w:rPr>
                  </w:pPr>
                  <w:r w:rsidRPr="00E834DA">
                    <w:rPr>
                      <w:rFonts w:ascii="Century" w:hAnsi="Century"/>
                      <w:color w:val="404040"/>
                    </w:rPr>
                    <w:t xml:space="preserve">Distribution of insured farmers and agriculture fields into </w:t>
                  </w:r>
                  <w:r w:rsidR="006B7D72" w:rsidRPr="00E834DA">
                    <w:rPr>
                      <w:rFonts w:ascii="Century" w:hAnsi="Century"/>
                      <w:color w:val="404040"/>
                    </w:rPr>
                    <w:t>regions of Turkey for year 2007 are shown below.</w:t>
                  </w:r>
                </w:p>
              </w:tc>
            </w:tr>
            <w:tr w:rsidR="00CC0DD2" w:rsidRPr="00E834DA">
              <w:tc>
                <w:tcPr>
                  <w:tcW w:w="9855" w:type="dxa"/>
                  <w:gridSpan w:val="3"/>
                </w:tcPr>
                <w:p w:rsidR="00CC0DD2" w:rsidRPr="00E834DA" w:rsidRDefault="00CC0DD2" w:rsidP="00CC0DD2">
                  <w:pPr>
                    <w:pStyle w:val="ResimYazs"/>
                    <w:rPr>
                      <w:rFonts w:ascii="Century" w:hAnsi="Century"/>
                      <w:lang w:val="tr-TR"/>
                    </w:rPr>
                  </w:pPr>
                  <w:r w:rsidRPr="00E834DA">
                    <w:rPr>
                      <w:rFonts w:ascii="Century" w:hAnsi="Century"/>
                      <w:lang w:val="tr-TR"/>
                    </w:rPr>
                    <w:t xml:space="preserve">                       Tablo 2.6</w:t>
                  </w:r>
                  <w:r w:rsidRPr="00E834DA">
                    <w:rPr>
                      <w:rFonts w:ascii="Century" w:hAnsi="Century"/>
                      <w:lang w:val="tr-TR"/>
                    </w:rPr>
                    <w:noBreakHyphen/>
                  </w:r>
                  <w:r w:rsidR="00071F8E" w:rsidRPr="00E834DA">
                    <w:rPr>
                      <w:rFonts w:ascii="Century" w:hAnsi="Century"/>
                      <w:lang w:val="tr-TR"/>
                    </w:rPr>
                    <w:t>4</w:t>
                  </w:r>
                  <w:r w:rsidRPr="00E834DA">
                    <w:rPr>
                      <w:rFonts w:ascii="Century" w:hAnsi="Century"/>
                      <w:lang w:val="tr-TR"/>
                    </w:rPr>
                    <w:t xml:space="preserve">; 2007 Yılı Bölge Bazında Sigorta – </w:t>
                  </w:r>
                  <w:r w:rsidRPr="00E834DA">
                    <w:rPr>
                      <w:rFonts w:ascii="Century" w:hAnsi="Century"/>
                      <w:b w:val="0"/>
                      <w:i/>
                      <w:sz w:val="18"/>
                      <w:szCs w:val="18"/>
                      <w:lang w:val="tr-TR"/>
                    </w:rPr>
                    <w:t>Insured as Region for 2007</w:t>
                  </w:r>
                </w:p>
                <w:p w:rsidR="00CC0DD2" w:rsidRPr="00E834DA" w:rsidRDefault="00CC0DD2" w:rsidP="00CC0DD2">
                  <w:pPr>
                    <w:jc w:val="center"/>
                    <w:rPr>
                      <w:rFonts w:ascii="Century" w:hAnsi="Century"/>
                      <w:lang w:val="tr-TR"/>
                    </w:rPr>
                  </w:pPr>
                  <w:r w:rsidRPr="00E834DA">
                    <w:rPr>
                      <w:rFonts w:ascii="Century" w:hAnsi="Century"/>
                      <w:lang w:val="tr-TR"/>
                    </w:rPr>
                    <w:pict>
                      <v:shape id="_x0000_i1099" type="#_x0000_t75" style="width:428.25pt;height:161.25pt">
                        <v:imagedata r:id="rId89" o:title=""/>
                      </v:shape>
                    </w:pict>
                  </w:r>
                </w:p>
              </w:tc>
            </w:tr>
          </w:tbl>
          <w:p w:rsidR="00D623A1" w:rsidRPr="00E834DA" w:rsidRDefault="00AF4542" w:rsidP="00AD31DB">
            <w:pPr>
              <w:pStyle w:val="Balk1"/>
              <w:keepNext w:val="0"/>
              <w:numPr>
                <w:ilvl w:val="0"/>
                <w:numId w:val="0"/>
              </w:numPr>
              <w:spacing w:before="0" w:after="0"/>
              <w:rPr>
                <w:rFonts w:ascii="Century" w:hAnsi="Century"/>
                <w:sz w:val="24"/>
                <w:szCs w:val="24"/>
                <w:lang w:val="tr-TR"/>
              </w:rPr>
            </w:pPr>
            <w:bookmarkStart w:id="154" w:name="_Toc198287718"/>
            <w:bookmarkStart w:id="155" w:name="_Toc199251265"/>
            <w:r w:rsidRPr="00E834DA">
              <w:rPr>
                <w:rFonts w:ascii="Century" w:hAnsi="Century"/>
                <w:sz w:val="24"/>
                <w:szCs w:val="24"/>
                <w:lang w:val="tr-TR"/>
              </w:rPr>
              <w:lastRenderedPageBreak/>
              <w:t xml:space="preserve">3. </w:t>
            </w:r>
            <w:r w:rsidR="00AF47F0" w:rsidRPr="00E834DA">
              <w:rPr>
                <w:rFonts w:ascii="Century" w:hAnsi="Century"/>
                <w:sz w:val="24"/>
                <w:szCs w:val="24"/>
                <w:lang w:val="tr-TR"/>
              </w:rPr>
              <w:t>2007</w:t>
            </w:r>
            <w:r w:rsidR="00D623A1" w:rsidRPr="00E834DA">
              <w:rPr>
                <w:rFonts w:ascii="Century" w:hAnsi="Century"/>
                <w:sz w:val="24"/>
                <w:szCs w:val="24"/>
                <w:lang w:val="tr-TR"/>
              </w:rPr>
              <w:t xml:space="preserve"> Y</w:t>
            </w:r>
            <w:r w:rsidR="00143D14" w:rsidRPr="00E834DA">
              <w:rPr>
                <w:rFonts w:ascii="Century" w:hAnsi="Century"/>
                <w:sz w:val="24"/>
                <w:szCs w:val="24"/>
                <w:lang w:val="tr-TR"/>
              </w:rPr>
              <w:t>ILINDA MEVZUATTA YAPILAN DEĞİŞİKLİKLER</w:t>
            </w:r>
            <w:bookmarkEnd w:id="153"/>
            <w:bookmarkEnd w:id="154"/>
            <w:bookmarkEnd w:id="155"/>
          </w:p>
          <w:p w:rsidR="00D623A1" w:rsidRPr="00E834DA" w:rsidRDefault="00D623A1" w:rsidP="008D17FE">
            <w:pPr>
              <w:jc w:val="both"/>
              <w:rPr>
                <w:rFonts w:ascii="Century" w:hAnsi="Century"/>
                <w:sz w:val="20"/>
                <w:szCs w:val="20"/>
                <w:lang w:val="tr-TR"/>
              </w:rPr>
            </w:pPr>
          </w:p>
          <w:p w:rsidR="00AF47F0" w:rsidRPr="00E834DA" w:rsidRDefault="00FA5FD1" w:rsidP="00AF47F0">
            <w:pPr>
              <w:jc w:val="both"/>
              <w:rPr>
                <w:rFonts w:ascii="Century" w:hAnsi="Century"/>
                <w:lang w:val="tr-TR"/>
              </w:rPr>
            </w:pPr>
            <w:r w:rsidRPr="00E834DA">
              <w:rPr>
                <w:rFonts w:ascii="Century" w:hAnsi="Century"/>
                <w:lang w:val="tr-TR"/>
              </w:rPr>
              <w:t>Sigorta sözleşmelerinden doğan hak ve alacakların daha iyi güvence altına alınmasını sağlamak amacıyla, s</w:t>
            </w:r>
            <w:r w:rsidR="00AF47F0" w:rsidRPr="00E834DA">
              <w:rPr>
                <w:rFonts w:ascii="Century" w:hAnsi="Century"/>
                <w:lang w:val="tr-TR"/>
              </w:rPr>
              <w:t>igortacılığın geliştirilmesi</w:t>
            </w:r>
            <w:r w:rsidRPr="00E834DA">
              <w:rPr>
                <w:rFonts w:ascii="Century" w:hAnsi="Century"/>
                <w:lang w:val="tr-TR"/>
              </w:rPr>
              <w:t>,</w:t>
            </w:r>
            <w:r w:rsidR="00AF47F0" w:rsidRPr="00E834DA">
              <w:rPr>
                <w:rFonts w:ascii="Century" w:hAnsi="Century"/>
                <w:lang w:val="tr-TR"/>
              </w:rPr>
              <w:t xml:space="preserve"> güven içinde yürütülmesi</w:t>
            </w:r>
            <w:r w:rsidRPr="00E834DA">
              <w:rPr>
                <w:rFonts w:ascii="Century" w:hAnsi="Century"/>
                <w:lang w:val="tr-TR"/>
              </w:rPr>
              <w:t xml:space="preserve"> ve</w:t>
            </w:r>
            <w:r w:rsidR="00AF47F0" w:rsidRPr="00E834DA">
              <w:rPr>
                <w:rFonts w:ascii="Century" w:hAnsi="Century"/>
                <w:lang w:val="tr-TR"/>
              </w:rPr>
              <w:t xml:space="preserve"> sigorta</w:t>
            </w:r>
            <w:r w:rsidR="00E45429" w:rsidRPr="00E834DA">
              <w:rPr>
                <w:rFonts w:ascii="Century" w:hAnsi="Century"/>
                <w:lang w:val="tr-TR"/>
              </w:rPr>
              <w:t>cılık</w:t>
            </w:r>
            <w:r w:rsidR="00AF47F0" w:rsidRPr="00E834DA">
              <w:rPr>
                <w:rFonts w:ascii="Century" w:hAnsi="Century"/>
                <w:lang w:val="tr-TR"/>
              </w:rPr>
              <w:t xml:space="preserve"> sektöründe yer alan kişi ve kuruluşların mesleki kurallar içerisinde faaliyet göstermelerini </w:t>
            </w:r>
            <w:r w:rsidRPr="00E834DA">
              <w:rPr>
                <w:rFonts w:ascii="Century" w:hAnsi="Century"/>
                <w:lang w:val="tr-TR"/>
              </w:rPr>
              <w:t xml:space="preserve">temin etmek üzere sigortacılık </w:t>
            </w:r>
            <w:r w:rsidR="00AF47F0" w:rsidRPr="00E834DA">
              <w:rPr>
                <w:rFonts w:ascii="Century" w:hAnsi="Century"/>
                <w:lang w:val="tr-TR"/>
              </w:rPr>
              <w:t xml:space="preserve">ve bireysel emeklilik mevzuatında </w:t>
            </w:r>
            <w:r w:rsidRPr="00E834DA">
              <w:rPr>
                <w:rFonts w:ascii="Century" w:hAnsi="Century"/>
                <w:lang w:val="tr-TR"/>
              </w:rPr>
              <w:t xml:space="preserve">2007 yılında </w:t>
            </w:r>
            <w:r w:rsidR="00AF47F0" w:rsidRPr="00E834DA">
              <w:rPr>
                <w:rFonts w:ascii="Century" w:hAnsi="Century"/>
                <w:lang w:val="tr-TR"/>
              </w:rPr>
              <w:t>yapıl</w:t>
            </w:r>
            <w:r w:rsidRPr="00E834DA">
              <w:rPr>
                <w:rFonts w:ascii="Century" w:hAnsi="Century"/>
                <w:lang w:val="tr-TR"/>
              </w:rPr>
              <w:t>an</w:t>
            </w:r>
            <w:r w:rsidR="00AF47F0" w:rsidRPr="00E834DA">
              <w:rPr>
                <w:rFonts w:ascii="Century" w:hAnsi="Century"/>
                <w:lang w:val="tr-TR"/>
              </w:rPr>
              <w:t xml:space="preserve"> düzenlemeler aşağıda verilmiştir.</w:t>
            </w:r>
          </w:p>
          <w:p w:rsidR="00AF47F0" w:rsidRPr="00E834DA" w:rsidRDefault="00AF47F0" w:rsidP="00AF47F0">
            <w:pPr>
              <w:jc w:val="both"/>
              <w:rPr>
                <w:rFonts w:ascii="Century" w:hAnsi="Century"/>
                <w:sz w:val="20"/>
                <w:szCs w:val="20"/>
                <w:lang w:val="tr-TR"/>
              </w:rPr>
            </w:pPr>
          </w:p>
          <w:p w:rsidR="00AF47F0" w:rsidRPr="00E834DA" w:rsidRDefault="00AF47F0" w:rsidP="00D5664D">
            <w:pPr>
              <w:pStyle w:val="Balk2"/>
              <w:numPr>
                <w:ilvl w:val="1"/>
                <w:numId w:val="26"/>
              </w:numPr>
              <w:rPr>
                <w:rFonts w:ascii="Century" w:hAnsi="Century"/>
                <w:i w:val="0"/>
                <w:sz w:val="24"/>
                <w:szCs w:val="24"/>
                <w:lang w:val="tr-TR"/>
              </w:rPr>
            </w:pPr>
            <w:bookmarkStart w:id="156" w:name="_Toc198287719"/>
            <w:bookmarkStart w:id="157" w:name="_Toc199251266"/>
            <w:r w:rsidRPr="00E834DA">
              <w:rPr>
                <w:rFonts w:ascii="Century" w:hAnsi="Century"/>
                <w:i w:val="0"/>
                <w:sz w:val="24"/>
                <w:szCs w:val="24"/>
                <w:lang w:val="tr-TR"/>
              </w:rPr>
              <w:t>Kanun İle Yapılan Düzenlemeler</w:t>
            </w:r>
            <w:bookmarkEnd w:id="156"/>
            <w:bookmarkEnd w:id="157"/>
          </w:p>
          <w:p w:rsidR="00AF47F0" w:rsidRPr="00E834DA" w:rsidRDefault="00AF47F0" w:rsidP="00AF47F0">
            <w:pPr>
              <w:jc w:val="both"/>
              <w:rPr>
                <w:rFonts w:ascii="Century" w:hAnsi="Century"/>
                <w:b/>
                <w:sz w:val="20"/>
                <w:szCs w:val="20"/>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 xml:space="preserve">5684 sayılı Sigortacılık Kanunu 14.06.2007 tarih ve 26552 sayılı Resmi Gazete’de yayımlanmış ve 12’nci maddesinin tarife serbestisine ilişkin birinci fıkrası hükmü ile 47’nci maddesinin dördüncü fıkrasının garanti fonu varlıkları üzerine bloke konulabilmesi ve ipotek tesis ettirilmesine ilişkin hükmü yayımı tarihinden 3 ay sonra, diğer hükümleri yayımı tarihinde yürürlüğe girmiştir. </w:t>
            </w:r>
            <w:r w:rsidR="008F0004" w:rsidRPr="00E834DA">
              <w:rPr>
                <w:rFonts w:ascii="Century" w:hAnsi="Century"/>
                <w:lang w:val="tr-TR"/>
              </w:rPr>
              <w:t xml:space="preserve">5684 sayılı Kanun ile </w:t>
            </w:r>
            <w:r w:rsidRPr="00E834DA">
              <w:rPr>
                <w:rFonts w:ascii="Century" w:hAnsi="Century"/>
                <w:lang w:val="tr-TR"/>
              </w:rPr>
              <w:t>7397 sayılı Sigorta Murakabe Kanunu yürürlükten kaldırılmıştır.</w:t>
            </w:r>
          </w:p>
          <w:p w:rsidR="00AF47F0" w:rsidRPr="00E834DA" w:rsidRDefault="00AF47F0" w:rsidP="00AF47F0">
            <w:pPr>
              <w:ind w:left="360"/>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 xml:space="preserve">5684 sayılı Sigortacılık Kanunu ile 5174 sayılı Türkiye Odalar ve Borsalar </w:t>
            </w:r>
            <w:r w:rsidR="00F57916" w:rsidRPr="00E834DA">
              <w:rPr>
                <w:rFonts w:ascii="Century" w:hAnsi="Century"/>
                <w:lang w:val="tr-TR"/>
              </w:rPr>
              <w:t>Birliği ile Odalar ve Borsalar K</w:t>
            </w:r>
            <w:r w:rsidRPr="00E834DA">
              <w:rPr>
                <w:rFonts w:ascii="Century" w:hAnsi="Century"/>
                <w:lang w:val="tr-TR"/>
              </w:rPr>
              <w:t xml:space="preserve">anununun 57’nci ve  93’üncü maddelerine fıkra hükmü ilave edilmiş ve geçici 15’inci madde eklenmiştir. </w:t>
            </w:r>
          </w:p>
          <w:p w:rsidR="00AF47F0" w:rsidRPr="00E834DA" w:rsidRDefault="00AF47F0" w:rsidP="00AF47F0">
            <w:pPr>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5684 sayılı Sigortacılık Kanunu ile 2918 sayılı Karayolları Trafik Kanunun ek 8’inci maddesi değiştirilmiş ve 107’nci maddesinin üçüncü fıkrası ile ek 8’inci maddesinin birinci ve ikinci fıkraları yürürlükten kaldırılmıştır.</w:t>
            </w:r>
          </w:p>
          <w:p w:rsidR="00AF47F0" w:rsidRPr="00E834DA" w:rsidRDefault="00AF47F0" w:rsidP="00AF47F0">
            <w:pPr>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5684 sayılı Sigortacılık Kanunu ile 587 sayılı Zorunlu Deprem Sigortasına Dair Kanun Hükmünde Kararnameye Ek Madde 1 ilave edilmiştir.</w:t>
            </w:r>
          </w:p>
          <w:p w:rsidR="00AF47F0" w:rsidRPr="00E834DA" w:rsidRDefault="00AF47F0" w:rsidP="00AF47F0">
            <w:pPr>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5684 sayılı Sigortacılık Kanunu ile 4632 sayılı Bireysel Emeklilik Tasarruf ve Yatırım Sistemi Kanunun 2’nci maddesinin “l” bendi, 5’inci maddesinin ikinci, üçüncü ve beşinci fıkraları, 6’ncı maddesinin son fıkrası 17’nci maddesinin birinci ve ikinci fıkraları ve 18’inci maddesinin birinci fıkrası değiştirilmiş ayrıca geçici 1’inci maddesine fıkra hükmü ilave edilmiştir.</w:t>
            </w:r>
          </w:p>
          <w:p w:rsidR="00AF47F0" w:rsidRPr="00E834DA" w:rsidRDefault="00AF47F0" w:rsidP="00AF47F0">
            <w:pPr>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5684 sayılı Sigortacılık Kanunu ile 4632 sayılı Kanunun 20’nci maddesinden sonra gelmek üzere 20/A madde hükmü ilave edilmiştir.</w:t>
            </w:r>
          </w:p>
          <w:p w:rsidR="00AF47F0" w:rsidRPr="00E834DA" w:rsidRDefault="00AF47F0" w:rsidP="00AF47F0">
            <w:pPr>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5684 sayılı Sigortacılık Kanunu ile 5363 sayılı Tarım Sigortaları Kanunu</w:t>
            </w:r>
            <w:r w:rsidR="00F57916" w:rsidRPr="00E834DA">
              <w:rPr>
                <w:rFonts w:ascii="Century" w:hAnsi="Century"/>
                <w:lang w:val="tr-TR"/>
              </w:rPr>
              <w:t>’</w:t>
            </w:r>
            <w:r w:rsidRPr="00E834DA">
              <w:rPr>
                <w:rFonts w:ascii="Century" w:hAnsi="Century"/>
                <w:lang w:val="tr-TR"/>
              </w:rPr>
              <w:t>nun 14’üncü maddesinin birinci fıkrasından sonra gelmek üzere fıkra hükmü ilave edilmiştir.</w:t>
            </w:r>
          </w:p>
          <w:p w:rsidR="00FA5FD1" w:rsidRPr="00E834DA" w:rsidRDefault="00FA5FD1" w:rsidP="00AF47F0">
            <w:pPr>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t>5684 sayılı Sigortacılık Kanunu ile 1160 sayılı Mükerrer Sigorta Hakkında Kanun yürürlükten kaldırılmıştır.</w:t>
            </w:r>
          </w:p>
          <w:p w:rsidR="00AF47F0" w:rsidRPr="00E834DA" w:rsidRDefault="00AF47F0" w:rsidP="00AF47F0">
            <w:pPr>
              <w:jc w:val="both"/>
              <w:rPr>
                <w:rFonts w:ascii="Century" w:hAnsi="Century"/>
                <w:lang w:val="tr-TR"/>
              </w:rPr>
            </w:pPr>
          </w:p>
          <w:p w:rsidR="00025554" w:rsidRDefault="00025554" w:rsidP="00AF47F0">
            <w:pPr>
              <w:jc w:val="both"/>
              <w:rPr>
                <w:rFonts w:ascii="Century" w:hAnsi="Century"/>
                <w:lang w:val="tr-TR"/>
              </w:rPr>
            </w:pPr>
          </w:p>
          <w:p w:rsidR="00AD31DB" w:rsidRPr="00E834DA" w:rsidRDefault="00AD31DB" w:rsidP="00AF47F0">
            <w:pPr>
              <w:jc w:val="both"/>
              <w:rPr>
                <w:rFonts w:ascii="Century" w:hAnsi="Century"/>
                <w:lang w:val="tr-TR"/>
              </w:rPr>
            </w:pPr>
          </w:p>
          <w:p w:rsidR="00AF47F0" w:rsidRPr="00E834DA" w:rsidRDefault="00AF47F0" w:rsidP="00AF47F0">
            <w:pPr>
              <w:numPr>
                <w:ilvl w:val="0"/>
                <w:numId w:val="20"/>
              </w:numPr>
              <w:jc w:val="both"/>
              <w:rPr>
                <w:rFonts w:ascii="Century" w:hAnsi="Century"/>
                <w:lang w:val="tr-TR"/>
              </w:rPr>
            </w:pPr>
            <w:r w:rsidRPr="00E834DA">
              <w:rPr>
                <w:rFonts w:ascii="Century" w:hAnsi="Century"/>
                <w:lang w:val="tr-TR"/>
              </w:rPr>
              <w:lastRenderedPageBreak/>
              <w:t>28.09.1972 tarih ve 14320 sayılı RG’de yayımlanarak yürürlüğe giren Seyahat Acentaları ve Seyahat Acenteleri Birliği Kanunu’nun 1’inci maddesi, Seyahat Acentalarının Yükümlülükleri başlıklı 2’nci maddesi ve Zorunlu Sigorta başlıklı 12’nci maddesi 13.04.2007 tarihinden itibaren geçerli olmak üzere 13.01.2007 tarihli RG’de yayımlanan 5571 sayılı Kanun ile değiştirilmiştir.</w:t>
            </w:r>
          </w:p>
          <w:p w:rsidR="00AF47F0" w:rsidRPr="00E834DA" w:rsidRDefault="00AF47F0" w:rsidP="00AF47F0">
            <w:pPr>
              <w:ind w:left="360"/>
              <w:jc w:val="both"/>
              <w:rPr>
                <w:rFonts w:ascii="Century" w:hAnsi="Century"/>
                <w:lang w:val="tr-TR"/>
              </w:rPr>
            </w:pPr>
          </w:p>
          <w:p w:rsidR="00AF47F0" w:rsidRPr="00E834DA" w:rsidRDefault="00AF47F0" w:rsidP="00D5664D">
            <w:pPr>
              <w:pStyle w:val="Balk2"/>
              <w:numPr>
                <w:ilvl w:val="1"/>
                <w:numId w:val="26"/>
              </w:numPr>
              <w:rPr>
                <w:rFonts w:ascii="Century" w:hAnsi="Century"/>
                <w:i w:val="0"/>
                <w:sz w:val="24"/>
                <w:szCs w:val="24"/>
                <w:lang w:val="tr-TR"/>
              </w:rPr>
            </w:pPr>
            <w:bookmarkStart w:id="158" w:name="_Toc198287720"/>
            <w:bookmarkStart w:id="159" w:name="_Toc199251267"/>
            <w:r w:rsidRPr="00E834DA">
              <w:rPr>
                <w:rFonts w:ascii="Century" w:hAnsi="Century"/>
                <w:i w:val="0"/>
                <w:sz w:val="24"/>
                <w:szCs w:val="24"/>
                <w:lang w:val="tr-TR"/>
              </w:rPr>
              <w:t>Yönetmelik ile Yapılan Düzenlemeler</w:t>
            </w:r>
            <w:bookmarkEnd w:id="158"/>
            <w:bookmarkEnd w:id="159"/>
          </w:p>
          <w:p w:rsidR="00AF47F0" w:rsidRPr="00E834DA" w:rsidRDefault="00AF47F0" w:rsidP="00AF47F0">
            <w:pPr>
              <w:ind w:left="360"/>
              <w:jc w:val="both"/>
              <w:rPr>
                <w:rFonts w:ascii="Century" w:hAnsi="Century"/>
                <w:b/>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14.07.2007 tarih ve 26582 sayılı Resmi Gazete’de Sigorta ve Reasürans Şirketleri ile Emeklilik Şirketlerinin Finansal Raporlamaları Hakkında Yönetmelik yayımlanmış ve 01.01.2008 tarihinde yürürlüğe girmiştir. Bu yönetmelik ile 31.12.2004 tarih ve 25687 sayılı Resmi Gazetede yayımlanan Sigortacılık Muhasebe Sistemi Yönetmeliği yürürlükten kaldırılmıştır.</w:t>
            </w:r>
          </w:p>
          <w:p w:rsidR="00AF47F0" w:rsidRPr="00E834DA" w:rsidRDefault="00AF47F0" w:rsidP="00AF47F0">
            <w:pPr>
              <w:ind w:left="360"/>
              <w:jc w:val="both"/>
              <w:rPr>
                <w:rFonts w:ascii="Century" w:hAnsi="Century"/>
                <w:lang w:val="tr-TR"/>
              </w:rPr>
            </w:pPr>
          </w:p>
          <w:p w:rsidR="00AF47F0" w:rsidRPr="00E834DA" w:rsidRDefault="00AF47F0" w:rsidP="00AF47F0">
            <w:pPr>
              <w:numPr>
                <w:ilvl w:val="0"/>
                <w:numId w:val="21"/>
              </w:numPr>
              <w:jc w:val="both"/>
              <w:rPr>
                <w:rFonts w:ascii="Century" w:hAnsi="Century"/>
                <w:b/>
                <w:lang w:val="tr-TR"/>
              </w:rPr>
            </w:pPr>
            <w:r w:rsidRPr="00E834DA">
              <w:rPr>
                <w:rFonts w:ascii="Century" w:hAnsi="Century"/>
                <w:lang w:val="tr-TR"/>
              </w:rPr>
              <w:t>18.07.2007 tarih ve 26586 sayılı Resmi Gazete’de Hayat Sigortaları Yönetmeliği yayımlanarak yayımı tarihinde yürürlüğe girmiştir. Bu yönetmelik ile 09.12.1996 tarih ve 22842 sayılı Resmi Gazetede yayımlanarak yürürlüğe giren Hayat Sigortaları Yönetmeliği yürürlükten kalkmıştır.</w:t>
            </w:r>
          </w:p>
          <w:p w:rsidR="00AF47F0" w:rsidRPr="00E834DA" w:rsidRDefault="00AF47F0" w:rsidP="00AF47F0">
            <w:pPr>
              <w:jc w:val="both"/>
              <w:rPr>
                <w:rFonts w:ascii="Century" w:hAnsi="Century"/>
                <w:b/>
                <w:lang w:val="tr-TR"/>
              </w:rPr>
            </w:pPr>
          </w:p>
          <w:p w:rsidR="00AF47F0" w:rsidRPr="00E834DA" w:rsidRDefault="00AF47F0" w:rsidP="00AF47F0">
            <w:pPr>
              <w:numPr>
                <w:ilvl w:val="0"/>
                <w:numId w:val="21"/>
              </w:numPr>
              <w:jc w:val="both"/>
              <w:rPr>
                <w:rFonts w:ascii="Century" w:hAnsi="Century"/>
                <w:b/>
                <w:lang w:val="tr-TR"/>
              </w:rPr>
            </w:pPr>
            <w:r w:rsidRPr="00E834DA">
              <w:rPr>
                <w:rFonts w:ascii="Century" w:hAnsi="Century"/>
                <w:lang w:val="tr-TR"/>
              </w:rPr>
              <w:t>07.08.2007 tarih ve 26606 sayılı Resmi Gazete’de Sigorta ve Reasürans ile Emeklilik Şirketlerinin Teknik Karşılıklarına ve Bu Karşılıkların Yatırılacağı Varlıklara İlişkin Yönetmelik yayımlanmış ve 16’ncı maddesi 30.09.2007 tarihi itibariyle diğer maddeleri ise 01.01.2008 tarihi itibariyle yürürlüğe girmiştir. Bu yönetmelik ile 04.05.2007 tarih ve 26512 sayılı Resmi Gazete’de yayımlanan Sigorta ve Reasürans ile Emeklilik Şirketlerinin Teknik Karşılıklarına ve Bu Karşılıkların Yatırılacağı Varlıklara İlişkin Yönetmelik yürürlükten kalkmıştır.</w:t>
            </w:r>
          </w:p>
          <w:p w:rsidR="00AF47F0" w:rsidRPr="00E834DA" w:rsidRDefault="00AF47F0" w:rsidP="00AF47F0">
            <w:pPr>
              <w:jc w:val="both"/>
              <w:rPr>
                <w:rFonts w:ascii="Century" w:hAnsi="Century"/>
                <w:b/>
                <w:lang w:val="tr-TR"/>
              </w:rPr>
            </w:pPr>
          </w:p>
          <w:p w:rsidR="00AF47F0" w:rsidRPr="00E834DA" w:rsidRDefault="00AF47F0" w:rsidP="00AF47F0">
            <w:pPr>
              <w:numPr>
                <w:ilvl w:val="0"/>
                <w:numId w:val="21"/>
              </w:numPr>
              <w:jc w:val="both"/>
              <w:rPr>
                <w:rFonts w:ascii="Century" w:hAnsi="Century"/>
                <w:b/>
                <w:lang w:val="tr-TR"/>
              </w:rPr>
            </w:pPr>
            <w:r w:rsidRPr="00E834DA">
              <w:rPr>
                <w:rFonts w:ascii="Century" w:hAnsi="Century"/>
                <w:lang w:val="tr-TR"/>
              </w:rPr>
              <w:t>07.08.2007 tarih ve 26606 sayılı Resmi Gazete’de yayımlanan Sigorta ve Reasürans ile Emeklilik Şirketlerinin Teknik Karşılıklarına ve Bu Karşılıkların Yatırılacağı Varlıklara İlişkin Yönetmeliğin 5’inci maddesinin 5, 7 ve 8’inci fıkraları, 6’ncı maddesinin 3’üncü fıkrası ile Yürülük başlıklı 17’nci maddesi 18.10.2007 tarihli Resmi Gazete’de yayımlanan yönetmelik ile değiştirilmiştir.</w:t>
            </w:r>
          </w:p>
          <w:p w:rsidR="00AF47F0" w:rsidRPr="00E834DA" w:rsidRDefault="00AF47F0" w:rsidP="00AF47F0">
            <w:pPr>
              <w:jc w:val="both"/>
              <w:rPr>
                <w:rFonts w:ascii="Century" w:hAnsi="Century"/>
                <w:b/>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15.08.2007 tarih ve 26614 sayılı Resmi Gazete’de Aktüerler Yönetmeliği yayımlanmış ve geçici 2’nci maddesi yayımı tarihinde, diğer hükümleri ise 01.01.2008 tarihi itibariyle yürürlüğe girmiştir. Bu yönetmelik ile 03.08.1995 tarihli ve 22363 sayılı Resmi Gazete’de yayımlanan Aktüerler Yönetmeliği yürürlükten kalkmıştır.</w:t>
            </w:r>
          </w:p>
          <w:p w:rsidR="00AF47F0" w:rsidRPr="00E834DA" w:rsidRDefault="00AF47F0"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17.08.2007 tarih ve 26616 sayılı Resmi Gazete’de Sigortacılıkta Tahkime İlişkin Yönetmelik yayımlanmış ve yayımı tarihinde yürürlüğe girmiştir.</w:t>
            </w:r>
          </w:p>
          <w:p w:rsidR="00FA5FD1" w:rsidRPr="00E834DA" w:rsidRDefault="00FA5FD1" w:rsidP="00AF47F0">
            <w:pPr>
              <w:jc w:val="both"/>
              <w:rPr>
                <w:rFonts w:ascii="Century" w:hAnsi="Century"/>
                <w:lang w:val="tr-TR"/>
              </w:rPr>
            </w:pPr>
          </w:p>
          <w:p w:rsidR="00F22B8A" w:rsidRPr="00E834DA" w:rsidRDefault="00F22B8A"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08.09.2003 tarih ve 25223 sayılı Resmi Gazete’de yayımlanan Sigorta ve Reasürans Şirketlerinde Bağımsız Denetim Yapılmasına İlişkin Yönetmeliğin 21’inci maddesi 03.05.2007 tarihli Resmi Gazete’de yayımlanan Yönetmelik ile değiştirilmiştir.</w:t>
            </w: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lastRenderedPageBreak/>
              <w:t>28.10.2007 tarih ve 26684 sayılı Resmi Gazete’de Sigorta Sözleşmelerinde Bilgilendirmeye İlişkin Yönetmelik yayımlanmış ve 14’üncü maddesi yayımı tarihinde diğer maddeleri ise 01.03.2008 tarihinde yürürlüğe girmiştir. Bu yönetmelik ile 28.11.2006 tarih ve 26360 sayılı Resmi Gazete’de yayımlanan Sigorta Sözleşmelerinde Bilgilendirmeye İlişkin Yönetmelik yürürlükten kalkmıştır.</w:t>
            </w:r>
          </w:p>
          <w:p w:rsidR="00AF47F0" w:rsidRPr="00E834DA" w:rsidRDefault="00AF47F0"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11.04.2007 tarih ve 26490 sayılı Resmi Gazete’de Trafik Sigortaları Bilgi Merkezi Yönetmeliği yayımlanmış ve yayımı tarihinde yürürlüğe girmiştir. Bu yönetmelik ile 16.12.2003 tarihli ve 25318 sayılı Resmi Gazete’de yayımlanan Trafik Sigortası Bilgi Merkezi Yönetmeliği yürürlükten kalkmıştır.</w:t>
            </w:r>
          </w:p>
          <w:p w:rsidR="00AF47F0" w:rsidRPr="00E834DA" w:rsidRDefault="00AF47F0"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17.08.2007 tarih ve 26616 sayılı Resmi Gazete’de Bireysel Emeklilik Aracıları Hakkında Yönetmelik yayımlanmış ve 01.10.2007 tarihi itibariyle yürürlüğe girmiştir. Bu yönetmelik ile 03.03.2004 tarih ve 25391 sayılı Resmi Gazete’de yayımlanan Bireysel Emeklilik Aracıları Hakkında Yönetmelik yürürlükten kalkmıştır.</w:t>
            </w:r>
          </w:p>
          <w:p w:rsidR="00AF47F0" w:rsidRPr="00E834DA" w:rsidRDefault="00AF47F0"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26.07.2007 tarih ve 26594 sayılı Resmi Gazete’ de Güvence Hesabı Yönetmeliği yayımlanarak, yayımı tarihinde yürürlüğe girmiştir. Bu yönetmelik ile 03.07.2002 tarih ve 24804 sayılı Resmi Gazete’de yayımlanan Karayolu Trafik Garanti Sigortası Hesabı Yönetmeliği yürürlükten kaldırılmıştır.</w:t>
            </w:r>
          </w:p>
          <w:p w:rsidR="00AF47F0" w:rsidRPr="00E834DA" w:rsidRDefault="00AF47F0"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 xml:space="preserve">28.08.2007 tarih ve 26627 sayılı Resmi Gazete’de Okul Servis Araçları Hizmet Yönetmeliği yayımlanmıştır. Bu yönetmeliğin 4’üncü maddesinin f bendi ile 8’inci maddesinin e bendi yönetmeliğin yayımı tarihinden bir yıl sonra yürürlüğe girecektir. Diğer hükümler yayımı tarihinde yürürlüğe girmiştir. </w:t>
            </w:r>
          </w:p>
          <w:p w:rsidR="00AF47F0" w:rsidRPr="00E834DA" w:rsidRDefault="00AF47F0"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18.05.2006 tarih ve 26172 sayılı Resmi Gazete’de yayımlanarak yürürlüğe giren Tarım Sigortaları Uygulama Yönetmeliğinin Tarife ve Talimatlar başlıklı 1’nci maddesinin 5’inci fıkrası 02.02.2007 tarihli Resmi Gazete’de yayımlanan yönetmelik ile değiştirilmiştir.</w:t>
            </w:r>
          </w:p>
          <w:p w:rsidR="00AF47F0" w:rsidRPr="00E834DA" w:rsidRDefault="00AF47F0" w:rsidP="00AF47F0">
            <w:pPr>
              <w:jc w:val="both"/>
              <w:rPr>
                <w:rFonts w:ascii="Century" w:hAnsi="Century"/>
                <w:lang w:val="tr-TR"/>
              </w:rPr>
            </w:pPr>
          </w:p>
          <w:p w:rsidR="00AF47F0" w:rsidRPr="00E834DA" w:rsidRDefault="00AF47F0" w:rsidP="00AF47F0">
            <w:pPr>
              <w:numPr>
                <w:ilvl w:val="0"/>
                <w:numId w:val="21"/>
              </w:numPr>
              <w:jc w:val="both"/>
              <w:rPr>
                <w:rFonts w:ascii="Century" w:hAnsi="Century"/>
                <w:lang w:val="tr-TR"/>
              </w:rPr>
            </w:pPr>
            <w:r w:rsidRPr="00E834DA">
              <w:rPr>
                <w:rFonts w:ascii="Century" w:hAnsi="Century"/>
                <w:lang w:val="tr-TR"/>
              </w:rPr>
              <w:t>15.11.2005 tarih 25994 sayılı Resmi Gazete’de yayımlanarak yürürlüğe giren Türk Hava Sahasında Uçuş Yapan Türk ve Yabancı Sivil Hava Araçlarının Yaptırması Gereken Üçüncü Şahıs Mali Mesuliyet Sigortası Yönetmeliğinin Sigorta Asgari Teminat Tutarları başlıklı 8’inci maddesinin a bendi 28.07.2007 tarihli Resmi Gazete’de yayımlanan yönetmelik ile değiştirilmiştir.</w:t>
            </w:r>
          </w:p>
          <w:p w:rsidR="00352302" w:rsidRPr="00E834DA" w:rsidRDefault="00352302" w:rsidP="00AF47F0">
            <w:pPr>
              <w:ind w:left="360"/>
              <w:jc w:val="both"/>
              <w:rPr>
                <w:rFonts w:ascii="Century" w:hAnsi="Century"/>
                <w:b/>
                <w:lang w:val="tr-TR"/>
              </w:rPr>
            </w:pPr>
          </w:p>
          <w:p w:rsidR="00AF47F0" w:rsidRPr="00E834DA" w:rsidRDefault="00AF47F0" w:rsidP="00D5664D">
            <w:pPr>
              <w:pStyle w:val="Balk2"/>
              <w:numPr>
                <w:ilvl w:val="1"/>
                <w:numId w:val="26"/>
              </w:numPr>
              <w:rPr>
                <w:rFonts w:ascii="Century" w:hAnsi="Century"/>
                <w:i w:val="0"/>
                <w:sz w:val="24"/>
                <w:szCs w:val="24"/>
                <w:lang w:val="tr-TR"/>
              </w:rPr>
            </w:pPr>
            <w:bookmarkStart w:id="160" w:name="_Toc198287721"/>
            <w:bookmarkStart w:id="161" w:name="_Toc199251268"/>
            <w:r w:rsidRPr="00E834DA">
              <w:rPr>
                <w:rFonts w:ascii="Century" w:hAnsi="Century"/>
                <w:i w:val="0"/>
                <w:sz w:val="24"/>
                <w:szCs w:val="24"/>
                <w:lang w:val="tr-TR"/>
              </w:rPr>
              <w:t>Tebliğ ve Kararlar</w:t>
            </w:r>
            <w:bookmarkEnd w:id="160"/>
            <w:bookmarkEnd w:id="161"/>
          </w:p>
          <w:p w:rsidR="00AF47F0" w:rsidRPr="00E834DA" w:rsidRDefault="00AF47F0" w:rsidP="00AF47F0">
            <w:pPr>
              <w:ind w:left="360"/>
              <w:jc w:val="both"/>
              <w:rPr>
                <w:rFonts w:ascii="Century" w:hAnsi="Century"/>
                <w:b/>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03.08.2007 tarih ve 26602 sayılı Sigortacılık Sektöründe Uluslararası Faaliyetlere İlişkin Karar yayımlanarak yayımı tarihinde yürürlüğe girmiştir.</w:t>
            </w:r>
          </w:p>
          <w:p w:rsidR="00AF47F0" w:rsidRPr="00E834DA" w:rsidRDefault="00AF47F0" w:rsidP="00AF47F0">
            <w:pPr>
              <w:ind w:left="360"/>
              <w:jc w:val="both"/>
              <w:rPr>
                <w:rFonts w:ascii="Century" w:hAnsi="Century"/>
                <w:sz w:val="16"/>
                <w:szCs w:val="16"/>
                <w:lang w:val="tr-TR"/>
              </w:rPr>
            </w:pPr>
          </w:p>
          <w:p w:rsidR="00AF47F0" w:rsidRDefault="00AF47F0" w:rsidP="00AF47F0">
            <w:pPr>
              <w:numPr>
                <w:ilvl w:val="0"/>
                <w:numId w:val="22"/>
              </w:numPr>
              <w:jc w:val="both"/>
              <w:rPr>
                <w:rFonts w:ascii="Century" w:hAnsi="Century"/>
                <w:lang w:val="tr-TR"/>
              </w:rPr>
            </w:pPr>
            <w:r w:rsidRPr="00E834DA">
              <w:rPr>
                <w:rFonts w:ascii="Century" w:hAnsi="Century"/>
                <w:lang w:val="tr-TR"/>
              </w:rPr>
              <w:t>11.07.2007 tarih</w:t>
            </w:r>
            <w:r w:rsidR="00E17556" w:rsidRPr="00E834DA">
              <w:rPr>
                <w:rFonts w:ascii="Century" w:hAnsi="Century"/>
                <w:lang w:val="tr-TR"/>
              </w:rPr>
              <w:t>li</w:t>
            </w:r>
            <w:r w:rsidRPr="00E834DA">
              <w:rPr>
                <w:rFonts w:ascii="Century" w:hAnsi="Century"/>
                <w:lang w:val="tr-TR"/>
              </w:rPr>
              <w:t xml:space="preserve"> RG’de Sigorta Branşlarına İlişkin Tebliğ yayımlanmış ve yayımı tarihinde yürürlüğe girmiştir.</w:t>
            </w:r>
          </w:p>
          <w:p w:rsidR="008021C9" w:rsidRDefault="008021C9" w:rsidP="008021C9">
            <w:pPr>
              <w:jc w:val="both"/>
              <w:rPr>
                <w:rFonts w:ascii="Century" w:hAnsi="Century"/>
                <w:lang w:val="tr-TR"/>
              </w:rPr>
            </w:pPr>
          </w:p>
          <w:p w:rsidR="008021C9" w:rsidRPr="00E834DA" w:rsidRDefault="008021C9" w:rsidP="008021C9">
            <w:pPr>
              <w:ind w:left="360"/>
              <w:jc w:val="both"/>
              <w:rPr>
                <w:rFonts w:ascii="Century" w:hAnsi="Century"/>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lastRenderedPageBreak/>
              <w:t>22.12.2003 tarih ve 25324 sayılı Mükerrer Resmi Gazete’de yayımlanan Zorunlu Deprem Sigortası Tarife ve Talimatının Tarife, Azami Teminat Tutarı, Sigorta Bedelinin Tespiti ve Yetkili Sigorta Şirketlerine ve Acentelerine Ödenecek Komisyon başlıklı bölümleri 22.02.2007 tarihinden geçerli olmak üzere 20.02.2007 tarihli Resmi Gazete’de yayımlanan tebliğ ile değiştirilmiştir.</w:t>
            </w:r>
          </w:p>
          <w:p w:rsidR="00AF47F0" w:rsidRPr="00E834DA" w:rsidRDefault="00AF47F0" w:rsidP="00AF47F0">
            <w:pPr>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29.12.2005 tarih</w:t>
            </w:r>
            <w:r w:rsidR="00E17556" w:rsidRPr="00E834DA">
              <w:rPr>
                <w:rFonts w:ascii="Century" w:hAnsi="Century"/>
                <w:lang w:val="tr-TR"/>
              </w:rPr>
              <w:t>li</w:t>
            </w:r>
            <w:r w:rsidRPr="00E834DA">
              <w:rPr>
                <w:rFonts w:ascii="Century" w:hAnsi="Century"/>
                <w:lang w:val="tr-TR"/>
              </w:rPr>
              <w:t xml:space="preserve"> RG’de yayımlanarak yürürlüğe giren Zorunlu Karayolu Taşımacılık Mali Sorumluluk Sigortası Tarife ve Talimatının Tarife başlıklı kısmında yer alan Tablo ile Hasarsızlık İndirimi ve Prim Artırımı Oranlarında yer alan Tablo 01.01.2008 tarihinden geçerli olmak üzere 29.12.2007 tarihli RG’de yayımlanan Tebliğ ile değiştirilmiş ve Yeni Teminat Tutarlarının Yürürlükteki Sözleşmelere Uygulanması bölümü ilave edilmiştir.</w:t>
            </w:r>
          </w:p>
          <w:p w:rsidR="00AF47F0" w:rsidRPr="00E834DA" w:rsidRDefault="00AF47F0" w:rsidP="00AF47F0">
            <w:pPr>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29.12.2005 tarih</w:t>
            </w:r>
            <w:r w:rsidR="00E17556" w:rsidRPr="00E834DA">
              <w:rPr>
                <w:rFonts w:ascii="Century" w:hAnsi="Century"/>
                <w:lang w:val="tr-TR"/>
              </w:rPr>
              <w:t>li</w:t>
            </w:r>
            <w:r w:rsidRPr="00E834DA">
              <w:rPr>
                <w:rFonts w:ascii="Century" w:hAnsi="Century"/>
                <w:lang w:val="tr-TR"/>
              </w:rPr>
              <w:t xml:space="preserve"> RG’de yayımlanarak yürürlüğe giren Karayolu Yolcu Taşımacılığı ZKFK Sigortası Tarife ve Talimatının Tarife başlıklı kısmının 1’inci fıkrası 29.12.2007 tarihli RG’de yayımlanan Tebliğ ile değiştirilmiştir.</w:t>
            </w:r>
          </w:p>
          <w:p w:rsidR="00AF47F0" w:rsidRPr="00E834DA" w:rsidRDefault="00AF47F0" w:rsidP="00AF47F0">
            <w:pPr>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16.03.06 tarih</w:t>
            </w:r>
            <w:r w:rsidR="00E17556" w:rsidRPr="00E834DA">
              <w:rPr>
                <w:rFonts w:ascii="Century" w:hAnsi="Century"/>
                <w:lang w:val="tr-TR"/>
              </w:rPr>
              <w:t>li</w:t>
            </w:r>
            <w:r w:rsidRPr="00E834DA">
              <w:rPr>
                <w:rFonts w:ascii="Century" w:hAnsi="Century"/>
                <w:lang w:val="tr-TR"/>
              </w:rPr>
              <w:t xml:space="preserve"> RG’de yayımlanan Mesleki Sorumluluk Sigortası Genel Şartlarının Teminat Dışında Kalan Haller başlıklı bölümün</w:t>
            </w:r>
            <w:r w:rsidR="00E17556" w:rsidRPr="00E834DA">
              <w:rPr>
                <w:rFonts w:ascii="Century" w:hAnsi="Century"/>
                <w:lang w:val="tr-TR"/>
              </w:rPr>
              <w:t>ün</w:t>
            </w:r>
            <w:r w:rsidRPr="00E834DA">
              <w:rPr>
                <w:rFonts w:ascii="Century" w:hAnsi="Century"/>
                <w:lang w:val="tr-TR"/>
              </w:rPr>
              <w:t xml:space="preserve"> a bendi ile Aksine Sözleşme Yoksa Teminat Dışı Haller, Tazminat ve Ödemeler başlıklı kısmın a bendi 03.05.07 tarihli RG’de yayımlanan Tebliğ ile değiştirilmiştir.</w:t>
            </w:r>
          </w:p>
          <w:p w:rsidR="00AF47F0" w:rsidRPr="00E834DA" w:rsidRDefault="00AF47F0" w:rsidP="00AF47F0">
            <w:pPr>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21.09.2006 tarih</w:t>
            </w:r>
            <w:r w:rsidR="00E17556" w:rsidRPr="00E834DA">
              <w:rPr>
                <w:rFonts w:ascii="Century" w:hAnsi="Century"/>
                <w:lang w:val="tr-TR"/>
              </w:rPr>
              <w:t>li</w:t>
            </w:r>
            <w:r w:rsidRPr="00E834DA">
              <w:rPr>
                <w:rFonts w:ascii="Century" w:hAnsi="Century"/>
                <w:lang w:val="tr-TR"/>
              </w:rPr>
              <w:t xml:space="preserve"> </w:t>
            </w:r>
            <w:r w:rsidR="00E17556" w:rsidRPr="00E834DA">
              <w:rPr>
                <w:rFonts w:ascii="Century" w:hAnsi="Century"/>
                <w:lang w:val="tr-TR"/>
              </w:rPr>
              <w:t>RG</w:t>
            </w:r>
            <w:r w:rsidRPr="00E834DA">
              <w:rPr>
                <w:rFonts w:ascii="Century" w:hAnsi="Century"/>
                <w:lang w:val="tr-TR"/>
              </w:rPr>
              <w:t>’de yayımlanarak yürürlüğe giren Mesleki Sorumluluk Sigortası Genel Şartları Hekim Mesleki Sorumluluk Sigortası Klozu’nun Kapsam başlıklı kısmının 1’inci fıkrası, Teminat Dışında Kalan Tazminat Talepleri başlıklı kısım ile Ek Sözleşme ile Teminat Altına Alınabilecek Tazminat Talepleri ve Ödemeler başlıklı kısım 03.05.2007 tarihli RG’de yayımlanan Tebliğ ile değiştirilmiştir.</w:t>
            </w:r>
          </w:p>
          <w:p w:rsidR="00AF47F0" w:rsidRPr="00E834DA" w:rsidRDefault="00AF47F0" w:rsidP="00AF47F0">
            <w:pPr>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03.05.2007 tarih ve 26511 sayılı Resmi Gazete’de Mesleki Sorumluluk Sigortası Genel Şartları Serbest Muhasebeci, Serbest Muhasebeci Mali Müşavir ve Yeminli Mali Müşavir Mesleki Sorumluluk Sigortası Klozu yayımlanmıştır.</w:t>
            </w:r>
          </w:p>
          <w:p w:rsidR="00AF47F0" w:rsidRPr="00E834DA" w:rsidRDefault="00AF47F0" w:rsidP="00AF47F0">
            <w:pPr>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29.03.2006 tarih</w:t>
            </w:r>
            <w:r w:rsidR="00E17556" w:rsidRPr="00E834DA">
              <w:rPr>
                <w:rFonts w:ascii="Century" w:hAnsi="Century"/>
                <w:lang w:val="tr-TR"/>
              </w:rPr>
              <w:t xml:space="preserve">li </w:t>
            </w:r>
            <w:r w:rsidRPr="00E834DA">
              <w:rPr>
                <w:rFonts w:ascii="Century" w:hAnsi="Century"/>
                <w:lang w:val="tr-TR"/>
              </w:rPr>
              <w:t>RG’de yayımlanarak yürürlüğe giren Özel Güvenlik Mali Sorumluluk Sigortası Tarife ve Talimatının Tarife başlıklı kısmında yer alan Tablo 27.03.2007 tarihli R</w:t>
            </w:r>
            <w:r w:rsidR="00E17556" w:rsidRPr="00E834DA">
              <w:rPr>
                <w:rFonts w:ascii="Century" w:hAnsi="Century"/>
                <w:lang w:val="tr-TR"/>
              </w:rPr>
              <w:t>G</w:t>
            </w:r>
            <w:r w:rsidRPr="00E834DA">
              <w:rPr>
                <w:rFonts w:ascii="Century" w:hAnsi="Century"/>
                <w:lang w:val="tr-TR"/>
              </w:rPr>
              <w:t>’de yayımlanan Tebliğ ile değiştirilmiştir.</w:t>
            </w:r>
          </w:p>
          <w:p w:rsidR="00E17556" w:rsidRPr="00E834DA" w:rsidRDefault="00E17556" w:rsidP="00E17556">
            <w:pPr>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05.04.2007 tarih</w:t>
            </w:r>
            <w:r w:rsidR="00E17556" w:rsidRPr="00E834DA">
              <w:rPr>
                <w:rFonts w:ascii="Century" w:hAnsi="Century"/>
                <w:lang w:val="tr-TR"/>
              </w:rPr>
              <w:t>li</w:t>
            </w:r>
            <w:r w:rsidRPr="00E834DA">
              <w:rPr>
                <w:rFonts w:ascii="Century" w:hAnsi="Century"/>
                <w:lang w:val="tr-TR"/>
              </w:rPr>
              <w:t xml:space="preserve"> RG’de Tarım Sigortaları Havuzuna Devlet Tarafından Taahhüt Edilecek  Hasar Fazlası Desteğine İlişkin Karar yayımlanmıştır.</w:t>
            </w:r>
          </w:p>
          <w:p w:rsidR="00AF47F0" w:rsidRPr="00E834DA" w:rsidRDefault="00AF47F0" w:rsidP="00AF47F0">
            <w:pPr>
              <w:ind w:left="360"/>
              <w:jc w:val="both"/>
              <w:rPr>
                <w:rFonts w:ascii="Century" w:hAnsi="Century"/>
                <w:sz w:val="16"/>
                <w:szCs w:val="16"/>
                <w:lang w:val="tr-TR"/>
              </w:rPr>
            </w:pPr>
          </w:p>
          <w:p w:rsidR="00AF47F0" w:rsidRPr="00E834DA" w:rsidRDefault="00AF47F0" w:rsidP="00AF47F0">
            <w:pPr>
              <w:numPr>
                <w:ilvl w:val="0"/>
                <w:numId w:val="22"/>
              </w:numPr>
              <w:jc w:val="both"/>
              <w:rPr>
                <w:rFonts w:ascii="Century" w:hAnsi="Century"/>
                <w:lang w:val="tr-TR"/>
              </w:rPr>
            </w:pPr>
            <w:r w:rsidRPr="00E834DA">
              <w:rPr>
                <w:rFonts w:ascii="Century" w:hAnsi="Century"/>
                <w:lang w:val="tr-TR"/>
              </w:rPr>
              <w:t>30.12.2007 tarih</w:t>
            </w:r>
            <w:r w:rsidR="00E17556" w:rsidRPr="00E834DA">
              <w:rPr>
                <w:rFonts w:ascii="Century" w:hAnsi="Century"/>
                <w:lang w:val="tr-TR"/>
              </w:rPr>
              <w:t>li</w:t>
            </w:r>
            <w:r w:rsidRPr="00E834DA">
              <w:rPr>
                <w:rFonts w:ascii="Century" w:hAnsi="Century"/>
                <w:lang w:val="tr-TR"/>
              </w:rPr>
              <w:t xml:space="preserve"> </w:t>
            </w:r>
            <w:r w:rsidR="00E17556" w:rsidRPr="00E834DA">
              <w:rPr>
                <w:rFonts w:ascii="Century" w:hAnsi="Century"/>
                <w:lang w:val="tr-TR"/>
              </w:rPr>
              <w:t>R</w:t>
            </w:r>
            <w:r w:rsidRPr="00E834DA">
              <w:rPr>
                <w:rFonts w:ascii="Century" w:hAnsi="Century"/>
                <w:lang w:val="tr-TR"/>
              </w:rPr>
              <w:t xml:space="preserve">G’de Tarım Sigortaları Havuzu Tarafından Kapsama Alınacak Riskler, Ürünler ve Bölgeler İle Prim Desteği Oranlarına İlişkin Karar yayımlanmıştır. </w:t>
            </w:r>
          </w:p>
          <w:p w:rsidR="00AF47F0" w:rsidRPr="00E834DA" w:rsidRDefault="00AF47F0" w:rsidP="00AF47F0">
            <w:pPr>
              <w:ind w:left="360"/>
              <w:jc w:val="both"/>
              <w:rPr>
                <w:rFonts w:ascii="Century" w:hAnsi="Century"/>
                <w:b/>
                <w:lang w:val="tr-TR"/>
              </w:rPr>
            </w:pPr>
          </w:p>
          <w:p w:rsidR="00545E34" w:rsidRPr="00E834DA" w:rsidRDefault="00545E34" w:rsidP="00AF47F0">
            <w:pPr>
              <w:ind w:left="360"/>
              <w:jc w:val="both"/>
              <w:rPr>
                <w:rFonts w:ascii="Century" w:hAnsi="Century"/>
                <w:b/>
                <w:lang w:val="tr-TR"/>
              </w:rPr>
            </w:pPr>
          </w:p>
          <w:p w:rsidR="00545E34" w:rsidRPr="00E834DA" w:rsidRDefault="00545E34" w:rsidP="00AF47F0">
            <w:pPr>
              <w:ind w:left="360"/>
              <w:jc w:val="both"/>
              <w:rPr>
                <w:rFonts w:ascii="Century" w:hAnsi="Century"/>
                <w:b/>
                <w:lang w:val="tr-TR"/>
              </w:rPr>
            </w:pPr>
          </w:p>
          <w:p w:rsidR="00545E34" w:rsidRDefault="00545E34" w:rsidP="00AF47F0">
            <w:pPr>
              <w:ind w:left="360"/>
              <w:jc w:val="both"/>
              <w:rPr>
                <w:rFonts w:ascii="Century" w:hAnsi="Century"/>
                <w:b/>
                <w:lang w:val="tr-TR"/>
              </w:rPr>
            </w:pPr>
          </w:p>
          <w:p w:rsidR="00AF72C4" w:rsidRPr="00E834DA" w:rsidRDefault="00AF72C4" w:rsidP="00AF47F0">
            <w:pPr>
              <w:ind w:left="360"/>
              <w:jc w:val="both"/>
              <w:rPr>
                <w:rFonts w:ascii="Century" w:hAnsi="Century"/>
                <w:b/>
                <w:lang w:val="tr-TR"/>
              </w:rPr>
            </w:pPr>
          </w:p>
          <w:p w:rsidR="00545E34" w:rsidRPr="00E834DA" w:rsidRDefault="00545E34" w:rsidP="00AF47F0">
            <w:pPr>
              <w:ind w:left="360"/>
              <w:jc w:val="both"/>
              <w:rPr>
                <w:rFonts w:ascii="Century" w:hAnsi="Century"/>
                <w:b/>
                <w:lang w:val="tr-TR"/>
              </w:rPr>
            </w:pPr>
          </w:p>
          <w:p w:rsidR="00545E34" w:rsidRPr="00E834DA" w:rsidRDefault="00545E34" w:rsidP="00AF47F0">
            <w:pPr>
              <w:ind w:left="360"/>
              <w:jc w:val="both"/>
              <w:rPr>
                <w:rFonts w:ascii="Century" w:hAnsi="Century"/>
                <w:b/>
                <w:lang w:val="tr-TR"/>
              </w:rPr>
            </w:pPr>
          </w:p>
          <w:p w:rsidR="00545E34" w:rsidRPr="00E834DA" w:rsidRDefault="00545E34" w:rsidP="00AF47F0">
            <w:pPr>
              <w:ind w:left="360"/>
              <w:jc w:val="both"/>
              <w:rPr>
                <w:rFonts w:ascii="Century" w:hAnsi="Century"/>
                <w:b/>
                <w:lang w:val="tr-TR"/>
              </w:rPr>
            </w:pPr>
          </w:p>
          <w:p w:rsidR="00545E34" w:rsidRPr="00E834DA" w:rsidRDefault="00545E34" w:rsidP="00545E34">
            <w:pPr>
              <w:rPr>
                <w:rFonts w:ascii="Century" w:hAnsi="Century"/>
                <w:b/>
                <w:color w:val="1C1C1C"/>
              </w:rPr>
            </w:pPr>
            <w:r w:rsidRPr="00E834DA">
              <w:rPr>
                <w:rFonts w:ascii="Century" w:hAnsi="Century"/>
                <w:b/>
                <w:color w:val="1C1C1C"/>
              </w:rPr>
              <w:lastRenderedPageBreak/>
              <w:t>3. CHANGES MADE IN THE LEGISLATION in 2007</w:t>
            </w:r>
          </w:p>
          <w:p w:rsidR="00545E34" w:rsidRPr="00E834DA" w:rsidRDefault="00545E34" w:rsidP="00545E34">
            <w:pPr>
              <w:rPr>
                <w:rFonts w:ascii="Century" w:hAnsi="Century"/>
                <w:color w:val="1C1C1C"/>
              </w:rPr>
            </w:pPr>
          </w:p>
          <w:p w:rsidR="00545E34" w:rsidRPr="00E834DA" w:rsidRDefault="00545E34" w:rsidP="00545E34">
            <w:pPr>
              <w:jc w:val="both"/>
              <w:rPr>
                <w:rFonts w:ascii="Century" w:hAnsi="Century"/>
                <w:color w:val="1C1C1C"/>
              </w:rPr>
            </w:pPr>
            <w:r w:rsidRPr="00E834DA">
              <w:rPr>
                <w:rFonts w:ascii="Century" w:hAnsi="Century"/>
                <w:color w:val="1C1C1C"/>
              </w:rPr>
              <w:t xml:space="preserve">In order to ensure the development of the insurance industry, to carry out it in confidence, to have the agents and institutions in the sector operate within the framework of the rules of the profession and to secure the rights and claims arisen from the insurance contracts, the amendments made on the Insurance and Private Pension Legislation in 2007 are stated as follows. </w:t>
            </w:r>
          </w:p>
          <w:p w:rsidR="00545E34" w:rsidRPr="00E834DA" w:rsidRDefault="00545E34" w:rsidP="00545E34">
            <w:pPr>
              <w:jc w:val="both"/>
              <w:rPr>
                <w:rFonts w:ascii="Century" w:hAnsi="Century"/>
                <w:color w:val="1C1C1C"/>
              </w:rPr>
            </w:pPr>
          </w:p>
          <w:p w:rsidR="00545E34" w:rsidRPr="00E834DA" w:rsidRDefault="00545E34" w:rsidP="00545E34">
            <w:pPr>
              <w:pStyle w:val="Balk2"/>
              <w:numPr>
                <w:ilvl w:val="0"/>
                <w:numId w:val="0"/>
              </w:numPr>
              <w:ind w:left="90"/>
              <w:rPr>
                <w:rFonts w:ascii="Century" w:hAnsi="Century"/>
                <w:i w:val="0"/>
                <w:sz w:val="24"/>
                <w:szCs w:val="24"/>
              </w:rPr>
            </w:pPr>
            <w:bookmarkStart w:id="162" w:name="_Toc198287517"/>
            <w:bookmarkStart w:id="163" w:name="_Toc198287722"/>
            <w:r w:rsidRPr="00E834DA">
              <w:rPr>
                <w:rFonts w:ascii="Century" w:hAnsi="Century"/>
                <w:i w:val="0"/>
                <w:sz w:val="24"/>
                <w:szCs w:val="24"/>
              </w:rPr>
              <w:t xml:space="preserve">3.1-Arrangements Made by </w:t>
            </w:r>
            <w:bookmarkEnd w:id="162"/>
            <w:bookmarkEnd w:id="163"/>
            <w:r w:rsidRPr="00E834DA">
              <w:rPr>
                <w:rFonts w:ascii="Century" w:hAnsi="Century"/>
                <w:i w:val="0"/>
                <w:sz w:val="24"/>
                <w:szCs w:val="24"/>
              </w:rPr>
              <w:t xml:space="preserve">Laws </w:t>
            </w:r>
          </w:p>
          <w:p w:rsidR="00545E34" w:rsidRPr="00E834DA" w:rsidRDefault="00545E34" w:rsidP="00545E34"/>
          <w:p w:rsidR="00545E34" w:rsidRPr="00E834DA" w:rsidRDefault="00545E34" w:rsidP="008021C9">
            <w:pPr>
              <w:numPr>
                <w:ilvl w:val="0"/>
                <w:numId w:val="19"/>
              </w:numPr>
              <w:jc w:val="both"/>
              <w:rPr>
                <w:rFonts w:ascii="Century" w:hAnsi="Century"/>
                <w:color w:val="1C1C1C"/>
              </w:rPr>
            </w:pPr>
            <w:r w:rsidRPr="00E834DA">
              <w:rPr>
                <w:rFonts w:ascii="Century" w:hAnsi="Century"/>
                <w:color w:val="1C1C1C"/>
              </w:rPr>
              <w:t>1</w:t>
            </w:r>
            <w:r w:rsidRPr="00E834DA">
              <w:rPr>
                <w:rFonts w:ascii="Century" w:hAnsi="Century"/>
                <w:color w:val="1C1C1C"/>
                <w:vertAlign w:val="superscript"/>
              </w:rPr>
              <w:t>st</w:t>
            </w:r>
            <w:r w:rsidRPr="00E834DA">
              <w:rPr>
                <w:rFonts w:ascii="Century" w:hAnsi="Century"/>
                <w:color w:val="1C1C1C"/>
              </w:rPr>
              <w:t xml:space="preserve"> paragraph of 12</w:t>
            </w:r>
            <w:r w:rsidRPr="00E834DA">
              <w:rPr>
                <w:rFonts w:ascii="Century" w:hAnsi="Century"/>
                <w:color w:val="1C1C1C"/>
                <w:vertAlign w:val="superscript"/>
              </w:rPr>
              <w:t xml:space="preserve">th </w:t>
            </w:r>
            <w:r w:rsidRPr="00E834DA">
              <w:rPr>
                <w:rFonts w:ascii="Century" w:hAnsi="Century"/>
                <w:color w:val="1C1C1C"/>
              </w:rPr>
              <w:t>article (tariff deregulation) and 4</w:t>
            </w:r>
            <w:r w:rsidRPr="00E834DA">
              <w:rPr>
                <w:rFonts w:ascii="Century" w:hAnsi="Century"/>
                <w:color w:val="1C1C1C"/>
                <w:vertAlign w:val="superscript"/>
              </w:rPr>
              <w:t>th</w:t>
            </w:r>
            <w:r w:rsidRPr="00E834DA">
              <w:rPr>
                <w:rFonts w:ascii="Century" w:hAnsi="Century"/>
                <w:color w:val="1C1C1C"/>
              </w:rPr>
              <w:t xml:space="preserve"> paragraph of 47</w:t>
            </w:r>
            <w:r w:rsidRPr="00E834DA">
              <w:rPr>
                <w:rFonts w:ascii="Century" w:hAnsi="Century"/>
                <w:color w:val="1C1C1C"/>
                <w:vertAlign w:val="superscript"/>
              </w:rPr>
              <w:t>th</w:t>
            </w:r>
            <w:r w:rsidRPr="00E834DA">
              <w:rPr>
                <w:rFonts w:ascii="Century" w:hAnsi="Century"/>
                <w:color w:val="1C1C1C"/>
              </w:rPr>
              <w:t xml:space="preserve"> article (earmarking guarantee fund assets and mortgaging) of Insurance Law dated 06.14.2007 no:5684, is to inure in 3</w:t>
            </w:r>
            <w:r w:rsidRPr="00E834DA">
              <w:rPr>
                <w:rFonts w:ascii="Century" w:hAnsi="Century"/>
                <w:color w:val="1C1C1C"/>
                <w:vertAlign w:val="superscript"/>
              </w:rPr>
              <w:t>rd</w:t>
            </w:r>
            <w:r w:rsidRPr="00E834DA">
              <w:rPr>
                <w:rFonts w:ascii="Century" w:hAnsi="Century"/>
                <w:color w:val="1C1C1C"/>
              </w:rPr>
              <w:t xml:space="preserve"> month following the publication date. With Law numbered 5684, Insurance Supervision Law dated 12.21.1959 no:7397 is abrogated.</w:t>
            </w:r>
          </w:p>
          <w:p w:rsidR="00545E34" w:rsidRPr="00E834DA" w:rsidRDefault="00545E34" w:rsidP="00545E34">
            <w:pPr>
              <w:jc w:val="both"/>
              <w:rPr>
                <w:rFonts w:ascii="Century" w:hAnsi="Century"/>
                <w:color w:val="1C1C1C"/>
              </w:rPr>
            </w:pPr>
          </w:p>
          <w:p w:rsidR="00545E34" w:rsidRPr="00E834DA" w:rsidRDefault="00545E34" w:rsidP="00545E34">
            <w:pPr>
              <w:numPr>
                <w:ilvl w:val="0"/>
                <w:numId w:val="19"/>
              </w:numPr>
              <w:jc w:val="both"/>
              <w:rPr>
                <w:rFonts w:ascii="Century" w:hAnsi="Century"/>
                <w:color w:val="1C1C1C"/>
              </w:rPr>
            </w:pPr>
            <w:r w:rsidRPr="00E834DA">
              <w:rPr>
                <w:rFonts w:ascii="Century" w:hAnsi="Century"/>
                <w:color w:val="1C1C1C"/>
              </w:rPr>
              <w:t>Paragraphs are added to 57</w:t>
            </w:r>
            <w:r w:rsidRPr="00E834DA">
              <w:rPr>
                <w:rFonts w:ascii="Century" w:hAnsi="Century"/>
                <w:color w:val="1C1C1C"/>
                <w:vertAlign w:val="superscript"/>
              </w:rPr>
              <w:t>th</w:t>
            </w:r>
            <w:r w:rsidRPr="00E834DA">
              <w:rPr>
                <w:rFonts w:ascii="Century" w:hAnsi="Century"/>
                <w:color w:val="1C1C1C"/>
              </w:rPr>
              <w:t xml:space="preserve"> and 93</w:t>
            </w:r>
            <w:r w:rsidRPr="00E834DA">
              <w:rPr>
                <w:rFonts w:ascii="Century" w:hAnsi="Century"/>
                <w:color w:val="1C1C1C"/>
                <w:vertAlign w:val="superscript"/>
              </w:rPr>
              <w:t>rd</w:t>
            </w:r>
            <w:r w:rsidRPr="00E834DA">
              <w:rPr>
                <w:rFonts w:ascii="Century" w:hAnsi="Century"/>
                <w:color w:val="1C1C1C"/>
              </w:rPr>
              <w:t xml:space="preserve"> articles of Union of Chambers and Commodity Exchanges Law no:5174 and temporary article 15 is embodied to same Law numbered 5174 according to Insurance Supervision Law no: 5684.</w:t>
            </w:r>
          </w:p>
          <w:p w:rsidR="00545E34" w:rsidRPr="00E834DA" w:rsidRDefault="00545E34" w:rsidP="00545E34">
            <w:pPr>
              <w:jc w:val="both"/>
              <w:rPr>
                <w:rFonts w:ascii="Century" w:hAnsi="Century"/>
                <w:color w:val="1C1C1C"/>
              </w:rPr>
            </w:pPr>
          </w:p>
          <w:p w:rsidR="00545E34" w:rsidRPr="00374F1C" w:rsidRDefault="00545E34" w:rsidP="00545E34">
            <w:pPr>
              <w:numPr>
                <w:ilvl w:val="0"/>
                <w:numId w:val="19"/>
              </w:numPr>
              <w:jc w:val="both"/>
              <w:rPr>
                <w:rFonts w:ascii="Century" w:hAnsi="Century"/>
                <w:color w:val="1C1C1C"/>
              </w:rPr>
            </w:pPr>
            <w:r w:rsidRPr="00E834DA">
              <w:rPr>
                <w:rFonts w:ascii="Century" w:hAnsi="Century"/>
                <w:color w:val="1C1C1C"/>
              </w:rPr>
              <w:t>8</w:t>
            </w:r>
            <w:r w:rsidRPr="00E834DA">
              <w:rPr>
                <w:rFonts w:ascii="Century" w:hAnsi="Century"/>
                <w:color w:val="1C1C1C"/>
                <w:vertAlign w:val="superscript"/>
              </w:rPr>
              <w:t>th</w:t>
            </w:r>
            <w:r w:rsidRPr="00E834DA">
              <w:rPr>
                <w:rFonts w:ascii="Century" w:hAnsi="Century"/>
                <w:color w:val="1C1C1C"/>
              </w:rPr>
              <w:t xml:space="preserve"> article of Road Traffic </w:t>
            </w:r>
            <w:r w:rsidRPr="00374F1C">
              <w:rPr>
                <w:rFonts w:ascii="Century" w:hAnsi="Century"/>
                <w:color w:val="1C1C1C"/>
              </w:rPr>
              <w:t>Act no:2918 is changed and 3</w:t>
            </w:r>
            <w:r w:rsidRPr="00374F1C">
              <w:rPr>
                <w:rFonts w:ascii="Century" w:hAnsi="Century"/>
                <w:color w:val="1C1C1C"/>
                <w:vertAlign w:val="superscript"/>
              </w:rPr>
              <w:t>rd</w:t>
            </w:r>
            <w:r w:rsidRPr="00374F1C">
              <w:rPr>
                <w:rFonts w:ascii="Century" w:hAnsi="Century"/>
                <w:color w:val="1C1C1C"/>
              </w:rPr>
              <w:t xml:space="preserve"> paragraph of 107</w:t>
            </w:r>
            <w:r w:rsidRPr="00374F1C">
              <w:rPr>
                <w:rFonts w:ascii="Century" w:hAnsi="Century"/>
                <w:color w:val="1C1C1C"/>
                <w:vertAlign w:val="superscript"/>
              </w:rPr>
              <w:t>th</w:t>
            </w:r>
            <w:r w:rsidRPr="00374F1C">
              <w:rPr>
                <w:rFonts w:ascii="Century" w:hAnsi="Century"/>
                <w:color w:val="1C1C1C"/>
              </w:rPr>
              <w:t xml:space="preserve"> article, 1</w:t>
            </w:r>
            <w:r w:rsidRPr="00374F1C">
              <w:rPr>
                <w:rFonts w:ascii="Century" w:hAnsi="Century"/>
                <w:color w:val="1C1C1C"/>
                <w:vertAlign w:val="superscript"/>
              </w:rPr>
              <w:t>st</w:t>
            </w:r>
            <w:r w:rsidRPr="00374F1C">
              <w:rPr>
                <w:rFonts w:ascii="Century" w:hAnsi="Century"/>
                <w:color w:val="1C1C1C"/>
              </w:rPr>
              <w:t xml:space="preserve"> and 2</w:t>
            </w:r>
            <w:r w:rsidRPr="00374F1C">
              <w:rPr>
                <w:rFonts w:ascii="Century" w:hAnsi="Century"/>
                <w:color w:val="1C1C1C"/>
                <w:vertAlign w:val="superscript"/>
              </w:rPr>
              <w:t>nd</w:t>
            </w:r>
            <w:r w:rsidRPr="00374F1C">
              <w:rPr>
                <w:rFonts w:ascii="Century" w:hAnsi="Century"/>
                <w:color w:val="1C1C1C"/>
              </w:rPr>
              <w:t xml:space="preserve"> paragraphs of </w:t>
            </w:r>
            <w:r w:rsidR="00374F1C" w:rsidRPr="00374F1C">
              <w:rPr>
                <w:rFonts w:ascii="Century" w:hAnsi="Century"/>
                <w:color w:val="1C1C1C"/>
              </w:rPr>
              <w:t xml:space="preserve">additional </w:t>
            </w:r>
            <w:r w:rsidRPr="00374F1C">
              <w:rPr>
                <w:rFonts w:ascii="Century" w:hAnsi="Century"/>
                <w:color w:val="1C1C1C"/>
              </w:rPr>
              <w:t>article 8 are abrogated according to Insurance Supervision Law no: 5684.</w:t>
            </w:r>
          </w:p>
          <w:p w:rsidR="00545E34" w:rsidRPr="00374F1C" w:rsidRDefault="00545E34" w:rsidP="00545E34">
            <w:pPr>
              <w:jc w:val="both"/>
              <w:rPr>
                <w:rFonts w:ascii="Century" w:hAnsi="Century"/>
                <w:color w:val="1C1C1C"/>
              </w:rPr>
            </w:pPr>
          </w:p>
          <w:p w:rsidR="00545E34" w:rsidRPr="00374F1C" w:rsidRDefault="00374F1C" w:rsidP="00545E34">
            <w:pPr>
              <w:numPr>
                <w:ilvl w:val="0"/>
                <w:numId w:val="19"/>
              </w:numPr>
              <w:jc w:val="both"/>
              <w:rPr>
                <w:rFonts w:ascii="Century" w:hAnsi="Century"/>
                <w:color w:val="1C1C1C"/>
              </w:rPr>
            </w:pPr>
            <w:r w:rsidRPr="00374F1C">
              <w:rPr>
                <w:rFonts w:ascii="Century" w:hAnsi="Century"/>
                <w:color w:val="1C1C1C"/>
              </w:rPr>
              <w:t>Additional</w:t>
            </w:r>
            <w:r w:rsidR="00545E34" w:rsidRPr="00374F1C">
              <w:rPr>
                <w:rFonts w:ascii="Century" w:hAnsi="Century"/>
                <w:color w:val="1C1C1C"/>
              </w:rPr>
              <w:t xml:space="preserve"> article 1 is embodied to Compulsory Earthquake Insurance Decree Law no: 587 according to Insurance Supervision Law no: 5684.</w:t>
            </w:r>
          </w:p>
          <w:p w:rsidR="00545E34" w:rsidRPr="00374F1C" w:rsidRDefault="00545E34" w:rsidP="00545E34">
            <w:pPr>
              <w:jc w:val="both"/>
              <w:rPr>
                <w:rFonts w:ascii="Century" w:hAnsi="Century"/>
                <w:color w:val="1C1C1C"/>
              </w:rPr>
            </w:pPr>
          </w:p>
          <w:p w:rsidR="00545E34" w:rsidRPr="00E834DA" w:rsidRDefault="00545E34" w:rsidP="00545E34">
            <w:pPr>
              <w:numPr>
                <w:ilvl w:val="0"/>
                <w:numId w:val="19"/>
              </w:numPr>
              <w:jc w:val="both"/>
              <w:rPr>
                <w:rFonts w:ascii="Century" w:hAnsi="Century"/>
                <w:color w:val="1C1C1C"/>
              </w:rPr>
            </w:pPr>
            <w:r w:rsidRPr="00374F1C">
              <w:rPr>
                <w:rFonts w:ascii="Century" w:hAnsi="Century"/>
                <w:color w:val="1C1C1C"/>
              </w:rPr>
              <w:t>1</w:t>
            </w:r>
            <w:r w:rsidRPr="00374F1C">
              <w:rPr>
                <w:rFonts w:ascii="Century" w:hAnsi="Century"/>
                <w:color w:val="1C1C1C"/>
                <w:vertAlign w:val="superscript"/>
              </w:rPr>
              <w:t>st</w:t>
            </w:r>
            <w:r w:rsidRPr="00374F1C">
              <w:rPr>
                <w:rFonts w:ascii="Century" w:hAnsi="Century"/>
                <w:color w:val="1C1C1C"/>
              </w:rPr>
              <w:t xml:space="preserve"> clause of 2</w:t>
            </w:r>
            <w:r w:rsidRPr="00374F1C">
              <w:rPr>
                <w:rFonts w:ascii="Century" w:hAnsi="Century"/>
                <w:color w:val="1C1C1C"/>
                <w:vertAlign w:val="superscript"/>
              </w:rPr>
              <w:t>nd</w:t>
            </w:r>
            <w:r w:rsidRPr="00374F1C">
              <w:rPr>
                <w:rFonts w:ascii="Century" w:hAnsi="Century"/>
                <w:color w:val="1C1C1C"/>
              </w:rPr>
              <w:t xml:space="preserve"> article, 2</w:t>
            </w:r>
            <w:r w:rsidRPr="00374F1C">
              <w:rPr>
                <w:rFonts w:ascii="Century" w:hAnsi="Century"/>
                <w:color w:val="1C1C1C"/>
                <w:vertAlign w:val="superscript"/>
              </w:rPr>
              <w:t>nd</w:t>
            </w:r>
            <w:r w:rsidRPr="00374F1C">
              <w:rPr>
                <w:rFonts w:ascii="Century" w:hAnsi="Century"/>
                <w:color w:val="1C1C1C"/>
              </w:rPr>
              <w:t>, 3</w:t>
            </w:r>
            <w:r w:rsidRPr="00374F1C">
              <w:rPr>
                <w:rFonts w:ascii="Century" w:hAnsi="Century"/>
                <w:color w:val="1C1C1C"/>
                <w:vertAlign w:val="superscript"/>
              </w:rPr>
              <w:t>rd</w:t>
            </w:r>
            <w:r w:rsidRPr="00374F1C">
              <w:rPr>
                <w:rFonts w:ascii="Century" w:hAnsi="Century"/>
                <w:color w:val="1C1C1C"/>
              </w:rPr>
              <w:t xml:space="preserve"> and 5</w:t>
            </w:r>
            <w:r w:rsidRPr="00374F1C">
              <w:rPr>
                <w:rFonts w:ascii="Century" w:hAnsi="Century"/>
                <w:color w:val="1C1C1C"/>
                <w:vertAlign w:val="superscript"/>
              </w:rPr>
              <w:t>th</w:t>
            </w:r>
            <w:r w:rsidRPr="00374F1C">
              <w:rPr>
                <w:rFonts w:ascii="Century" w:hAnsi="Century"/>
                <w:color w:val="1C1C1C"/>
              </w:rPr>
              <w:t xml:space="preserve"> paragraphs of 5</w:t>
            </w:r>
            <w:r w:rsidRPr="00374F1C">
              <w:rPr>
                <w:rFonts w:ascii="Century" w:hAnsi="Century"/>
                <w:color w:val="1C1C1C"/>
                <w:vertAlign w:val="superscript"/>
              </w:rPr>
              <w:t>th</w:t>
            </w:r>
            <w:r w:rsidRPr="00374F1C">
              <w:rPr>
                <w:rFonts w:ascii="Century" w:hAnsi="Century"/>
                <w:color w:val="1C1C1C"/>
              </w:rPr>
              <w:t xml:space="preserve"> article, last paragraph of 6</w:t>
            </w:r>
            <w:r w:rsidRPr="00374F1C">
              <w:rPr>
                <w:rFonts w:ascii="Century" w:hAnsi="Century"/>
                <w:color w:val="1C1C1C"/>
                <w:vertAlign w:val="superscript"/>
              </w:rPr>
              <w:t>th</w:t>
            </w:r>
            <w:r w:rsidRPr="00374F1C">
              <w:rPr>
                <w:rFonts w:ascii="Century" w:hAnsi="Century"/>
                <w:color w:val="1C1C1C"/>
              </w:rPr>
              <w:t xml:space="preserve"> article, 1</w:t>
            </w:r>
            <w:r w:rsidRPr="00374F1C">
              <w:rPr>
                <w:rFonts w:ascii="Century" w:hAnsi="Century"/>
                <w:color w:val="1C1C1C"/>
                <w:vertAlign w:val="superscript"/>
              </w:rPr>
              <w:t>st</w:t>
            </w:r>
            <w:r w:rsidRPr="00374F1C">
              <w:rPr>
                <w:rFonts w:ascii="Century" w:hAnsi="Century"/>
                <w:color w:val="1C1C1C"/>
              </w:rPr>
              <w:t xml:space="preserve"> and 2</w:t>
            </w:r>
            <w:r w:rsidRPr="00374F1C">
              <w:rPr>
                <w:rFonts w:ascii="Century" w:hAnsi="Century"/>
                <w:color w:val="1C1C1C"/>
                <w:vertAlign w:val="superscript"/>
              </w:rPr>
              <w:t>nd</w:t>
            </w:r>
            <w:r w:rsidRPr="00374F1C">
              <w:rPr>
                <w:rFonts w:ascii="Century" w:hAnsi="Century"/>
                <w:color w:val="1C1C1C"/>
              </w:rPr>
              <w:t xml:space="preserve"> paragraphs of 17</w:t>
            </w:r>
            <w:r w:rsidRPr="00374F1C">
              <w:rPr>
                <w:rFonts w:ascii="Century" w:hAnsi="Century"/>
                <w:color w:val="1C1C1C"/>
                <w:vertAlign w:val="superscript"/>
              </w:rPr>
              <w:t>th</w:t>
            </w:r>
            <w:r w:rsidRPr="00374F1C">
              <w:rPr>
                <w:rFonts w:ascii="Century" w:hAnsi="Century"/>
                <w:color w:val="1C1C1C"/>
              </w:rPr>
              <w:t xml:space="preserve"> article and 1</w:t>
            </w:r>
            <w:r w:rsidRPr="00374F1C">
              <w:rPr>
                <w:rFonts w:ascii="Century" w:hAnsi="Century"/>
                <w:color w:val="1C1C1C"/>
                <w:vertAlign w:val="superscript"/>
              </w:rPr>
              <w:t>st</w:t>
            </w:r>
            <w:r w:rsidRPr="00374F1C">
              <w:rPr>
                <w:rFonts w:ascii="Century" w:hAnsi="Century"/>
                <w:color w:val="1C1C1C"/>
              </w:rPr>
              <w:t xml:space="preserve"> paragraph of 18</w:t>
            </w:r>
            <w:r w:rsidRPr="00374F1C">
              <w:rPr>
                <w:rFonts w:ascii="Century" w:hAnsi="Century"/>
                <w:color w:val="1C1C1C"/>
                <w:vertAlign w:val="superscript"/>
              </w:rPr>
              <w:t>th</w:t>
            </w:r>
            <w:r w:rsidRPr="00374F1C">
              <w:rPr>
                <w:rFonts w:ascii="Century" w:hAnsi="Century"/>
                <w:color w:val="1C1C1C"/>
              </w:rPr>
              <w:t xml:space="preserve"> article of Law of Individual Pension Savings and Investment no:4632 are modified and a paragraph is added to temporary article</w:t>
            </w:r>
            <w:r w:rsidRPr="00E834DA">
              <w:rPr>
                <w:rFonts w:ascii="Century" w:hAnsi="Century"/>
                <w:color w:val="1C1C1C"/>
              </w:rPr>
              <w:t xml:space="preserve"> 1 of the same Law no:4632 according to Insurance Supervision Law no: 5684.</w:t>
            </w:r>
          </w:p>
          <w:p w:rsidR="00545E34" w:rsidRPr="00E834DA" w:rsidRDefault="00545E34" w:rsidP="00545E34">
            <w:pPr>
              <w:jc w:val="both"/>
              <w:rPr>
                <w:rFonts w:ascii="Century" w:hAnsi="Century"/>
                <w:color w:val="1C1C1C"/>
              </w:rPr>
            </w:pPr>
          </w:p>
          <w:p w:rsidR="00545E34" w:rsidRPr="00E834DA" w:rsidRDefault="00545E34" w:rsidP="00545E34">
            <w:pPr>
              <w:numPr>
                <w:ilvl w:val="0"/>
                <w:numId w:val="19"/>
              </w:numPr>
              <w:jc w:val="both"/>
              <w:rPr>
                <w:rFonts w:ascii="Century" w:hAnsi="Century"/>
                <w:color w:val="1C1C1C"/>
              </w:rPr>
            </w:pPr>
            <w:r w:rsidRPr="00E834DA">
              <w:rPr>
                <w:rFonts w:ascii="Century" w:hAnsi="Century"/>
                <w:color w:val="1C1C1C"/>
              </w:rPr>
              <w:t>Article 20/A is embodied to Law of Individual Pension Savings and Investment no:4632 after 20</w:t>
            </w:r>
            <w:r w:rsidRPr="00E834DA">
              <w:rPr>
                <w:rFonts w:ascii="Century" w:hAnsi="Century"/>
                <w:color w:val="1C1C1C"/>
                <w:vertAlign w:val="superscript"/>
              </w:rPr>
              <w:t>th</w:t>
            </w:r>
            <w:r w:rsidRPr="00E834DA">
              <w:rPr>
                <w:rFonts w:ascii="Century" w:hAnsi="Century"/>
                <w:color w:val="1C1C1C"/>
              </w:rPr>
              <w:t xml:space="preserve"> article according to Insurance Supervision Law no: 5684.</w:t>
            </w:r>
          </w:p>
          <w:p w:rsidR="00545E34" w:rsidRPr="00E834DA" w:rsidRDefault="00545E34" w:rsidP="00545E34">
            <w:pPr>
              <w:jc w:val="both"/>
              <w:rPr>
                <w:rFonts w:ascii="Century" w:hAnsi="Century"/>
                <w:color w:val="1C1C1C"/>
              </w:rPr>
            </w:pPr>
          </w:p>
          <w:p w:rsidR="00545E34" w:rsidRPr="00E834DA" w:rsidRDefault="00545E34" w:rsidP="00545E34">
            <w:pPr>
              <w:numPr>
                <w:ilvl w:val="0"/>
                <w:numId w:val="19"/>
              </w:numPr>
              <w:jc w:val="both"/>
              <w:rPr>
                <w:rFonts w:ascii="Century" w:hAnsi="Century"/>
                <w:color w:val="1C1C1C"/>
              </w:rPr>
            </w:pPr>
            <w:r w:rsidRPr="00E834DA">
              <w:rPr>
                <w:rFonts w:ascii="Century" w:hAnsi="Century"/>
                <w:color w:val="1C1C1C"/>
              </w:rPr>
              <w:t>A paragraph is embodied to Agricultural Insurance Code no:5363 after 1</w:t>
            </w:r>
            <w:r w:rsidRPr="00E834DA">
              <w:rPr>
                <w:rFonts w:ascii="Century" w:hAnsi="Century"/>
                <w:color w:val="1C1C1C"/>
                <w:vertAlign w:val="superscript"/>
              </w:rPr>
              <w:t>st</w:t>
            </w:r>
            <w:r w:rsidRPr="00E834DA">
              <w:rPr>
                <w:rFonts w:ascii="Century" w:hAnsi="Century"/>
                <w:color w:val="1C1C1C"/>
              </w:rPr>
              <w:t xml:space="preserve"> paragraph of 14</w:t>
            </w:r>
            <w:r w:rsidRPr="00E834DA">
              <w:rPr>
                <w:rFonts w:ascii="Century" w:hAnsi="Century"/>
                <w:color w:val="1C1C1C"/>
                <w:vertAlign w:val="superscript"/>
              </w:rPr>
              <w:t>th</w:t>
            </w:r>
            <w:r w:rsidRPr="00E834DA">
              <w:rPr>
                <w:rFonts w:ascii="Century" w:hAnsi="Century"/>
                <w:color w:val="1C1C1C"/>
              </w:rPr>
              <w:t xml:space="preserve"> article according to Insurance Supervision Law no: 5684.</w:t>
            </w:r>
          </w:p>
          <w:p w:rsidR="00545E34" w:rsidRPr="00E834DA" w:rsidRDefault="00545E34" w:rsidP="00545E34">
            <w:pPr>
              <w:jc w:val="both"/>
              <w:rPr>
                <w:rFonts w:ascii="Century" w:hAnsi="Century"/>
                <w:color w:val="1C1C1C"/>
              </w:rPr>
            </w:pPr>
          </w:p>
          <w:p w:rsidR="00545E34" w:rsidRPr="00E834DA" w:rsidRDefault="00545E34" w:rsidP="00545E34">
            <w:pPr>
              <w:numPr>
                <w:ilvl w:val="0"/>
                <w:numId w:val="19"/>
              </w:numPr>
              <w:jc w:val="both"/>
              <w:rPr>
                <w:rFonts w:ascii="Century" w:hAnsi="Century"/>
                <w:color w:val="1C1C1C"/>
              </w:rPr>
            </w:pPr>
            <w:r w:rsidRPr="00E834DA">
              <w:rPr>
                <w:rFonts w:ascii="Century" w:hAnsi="Century"/>
                <w:color w:val="1C1C1C"/>
              </w:rPr>
              <w:t>Reinsurance Law no:1160 is abrogated according to Insurance Supervision Law no: 5684.</w:t>
            </w:r>
          </w:p>
          <w:p w:rsidR="00545E34" w:rsidRPr="00E834DA" w:rsidRDefault="00545E34" w:rsidP="00545E34">
            <w:pPr>
              <w:jc w:val="both"/>
              <w:rPr>
                <w:rFonts w:ascii="Century" w:hAnsi="Century"/>
                <w:color w:val="1C1C1C"/>
              </w:rPr>
            </w:pPr>
          </w:p>
          <w:p w:rsidR="00545E34" w:rsidRPr="00E834DA" w:rsidRDefault="00545E34" w:rsidP="00545E34">
            <w:pPr>
              <w:numPr>
                <w:ilvl w:val="0"/>
                <w:numId w:val="19"/>
              </w:numPr>
              <w:jc w:val="both"/>
              <w:rPr>
                <w:rFonts w:ascii="Century" w:hAnsi="Century"/>
                <w:color w:val="1C1C1C"/>
              </w:rPr>
            </w:pPr>
            <w:r w:rsidRPr="00E834DA">
              <w:rPr>
                <w:rFonts w:ascii="Century" w:hAnsi="Century"/>
                <w:color w:val="1C1C1C"/>
              </w:rPr>
              <w:t>1</w:t>
            </w:r>
            <w:r w:rsidRPr="00E834DA">
              <w:rPr>
                <w:rFonts w:ascii="Century" w:hAnsi="Century"/>
                <w:color w:val="1C1C1C"/>
                <w:vertAlign w:val="superscript"/>
              </w:rPr>
              <w:t>st</w:t>
            </w:r>
            <w:r w:rsidRPr="00E834DA">
              <w:rPr>
                <w:rFonts w:ascii="Century" w:hAnsi="Century"/>
                <w:color w:val="1C1C1C"/>
              </w:rPr>
              <w:t xml:space="preserve"> article, 2</w:t>
            </w:r>
            <w:r w:rsidRPr="00E834DA">
              <w:rPr>
                <w:rFonts w:ascii="Century" w:hAnsi="Century"/>
                <w:color w:val="1C1C1C"/>
                <w:vertAlign w:val="superscript"/>
              </w:rPr>
              <w:t xml:space="preserve">nd </w:t>
            </w:r>
            <w:r w:rsidRPr="00E834DA">
              <w:rPr>
                <w:rFonts w:ascii="Century" w:hAnsi="Century"/>
                <w:color w:val="1C1C1C"/>
              </w:rPr>
              <w:t>article (Liabilities of travel agencies) and 12</w:t>
            </w:r>
            <w:r w:rsidRPr="00E834DA">
              <w:rPr>
                <w:rFonts w:ascii="Century" w:hAnsi="Century"/>
                <w:color w:val="1C1C1C"/>
                <w:vertAlign w:val="superscript"/>
              </w:rPr>
              <w:t>th</w:t>
            </w:r>
            <w:r w:rsidRPr="00E834DA">
              <w:rPr>
                <w:rFonts w:ascii="Century" w:hAnsi="Century"/>
                <w:color w:val="1C1C1C"/>
              </w:rPr>
              <w:t xml:space="preserve"> (Compulsory Insurance) article of Travel Agencies and Association of Travel Agencies Law no:1618 are modified as to be in force from 04.13.2007 according to Law on Intellectual and Artistic Works no:5571.</w:t>
            </w:r>
          </w:p>
          <w:p w:rsidR="00545E34" w:rsidRPr="00E834DA" w:rsidRDefault="00545E34" w:rsidP="00545E34">
            <w:pPr>
              <w:jc w:val="both"/>
              <w:rPr>
                <w:rFonts w:ascii="Century" w:hAnsi="Century"/>
                <w:b/>
                <w:color w:val="1C1C1C"/>
              </w:rPr>
            </w:pPr>
          </w:p>
          <w:p w:rsidR="00545E34" w:rsidRPr="00E834DA" w:rsidRDefault="00545E34" w:rsidP="00545E34">
            <w:pPr>
              <w:jc w:val="both"/>
              <w:rPr>
                <w:rFonts w:ascii="Century" w:hAnsi="Century"/>
                <w:b/>
                <w:color w:val="1C1C1C"/>
              </w:rPr>
            </w:pPr>
            <w:r w:rsidRPr="00E834DA">
              <w:rPr>
                <w:rFonts w:ascii="Century" w:hAnsi="Century"/>
                <w:b/>
                <w:color w:val="1C1C1C"/>
              </w:rPr>
              <w:t xml:space="preserve">3.2. </w:t>
            </w:r>
            <w:r w:rsidRPr="00E834DA">
              <w:rPr>
                <w:rFonts w:ascii="Century" w:hAnsi="Century"/>
                <w:b/>
              </w:rPr>
              <w:t>Arrangements Made by the Regulations</w:t>
            </w:r>
          </w:p>
          <w:p w:rsidR="00545E34" w:rsidRPr="00E834DA" w:rsidRDefault="00545E34" w:rsidP="00545E34">
            <w:pPr>
              <w:jc w:val="both"/>
              <w:rPr>
                <w:rFonts w:ascii="Century" w:hAnsi="Century"/>
                <w:b/>
                <w:color w:val="1C1C1C"/>
              </w:rPr>
            </w:pPr>
          </w:p>
          <w:p w:rsidR="00545E34" w:rsidRPr="00E834DA" w:rsidRDefault="00545E34" w:rsidP="008021C9">
            <w:pPr>
              <w:numPr>
                <w:ilvl w:val="0"/>
                <w:numId w:val="28"/>
              </w:numPr>
              <w:jc w:val="both"/>
              <w:rPr>
                <w:rFonts w:ascii="Century" w:hAnsi="Century"/>
                <w:color w:val="1C1C1C"/>
              </w:rPr>
            </w:pPr>
            <w:r w:rsidRPr="00E834DA">
              <w:rPr>
                <w:rFonts w:ascii="Century" w:hAnsi="Century"/>
                <w:color w:val="1C1C1C"/>
              </w:rPr>
              <w:t>Regulation of Financial Reporting for Insurance, Reinsurance and Pension Companies is inured with the issue 26582 of the Official Gazette dated 07.14.2007 as to be in force from 01.01.2008. Regulation of Insurance Accounting System which was established in the issue of 25687 of the Official Gazette dated 12.31.2004 is abrogated according to Regulation of Financial Reporting.</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Life Insurance Regulation is inured with the issue 26586 of the Official Gazette dated 07.18.2007. Former Life Insurance Regulation which was established in the issue of 22842 of the Official Gazette dated 12.09.1996 is abrogated according to new regulation.</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Regulation of Technical Reserves and Assets Invested for these Reserves is inured with the issue 26606 of the Official Gazette dated 08.07.2007 as to be in force from 01.01.2008 (except article 16 which comes to force from 09.30.2007).  Former Regulation about technical reserves, which was established in the issue of 26512 of the Official Gazette dated 05.04.2007 is abrogated according to new regulation.</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5</w:t>
            </w:r>
            <w:r w:rsidRPr="00E834DA">
              <w:rPr>
                <w:rFonts w:ascii="Century" w:hAnsi="Century"/>
                <w:color w:val="1C1C1C"/>
                <w:vertAlign w:val="superscript"/>
              </w:rPr>
              <w:t>th</w:t>
            </w:r>
            <w:r w:rsidRPr="00E834DA">
              <w:rPr>
                <w:rFonts w:ascii="Century" w:hAnsi="Century"/>
                <w:color w:val="1C1C1C"/>
              </w:rPr>
              <w:t>, 7</w:t>
            </w:r>
            <w:r w:rsidRPr="00E834DA">
              <w:rPr>
                <w:rFonts w:ascii="Century" w:hAnsi="Century"/>
                <w:color w:val="1C1C1C"/>
                <w:vertAlign w:val="superscript"/>
              </w:rPr>
              <w:t>th</w:t>
            </w:r>
            <w:r w:rsidRPr="00E834DA">
              <w:rPr>
                <w:rFonts w:ascii="Century" w:hAnsi="Century"/>
                <w:color w:val="1C1C1C"/>
              </w:rPr>
              <w:t xml:space="preserve"> and 8</w:t>
            </w:r>
            <w:r w:rsidRPr="00E834DA">
              <w:rPr>
                <w:rFonts w:ascii="Century" w:hAnsi="Century"/>
                <w:color w:val="1C1C1C"/>
                <w:vertAlign w:val="superscript"/>
              </w:rPr>
              <w:t>th</w:t>
            </w:r>
            <w:r w:rsidRPr="00E834DA">
              <w:rPr>
                <w:rFonts w:ascii="Century" w:hAnsi="Century"/>
                <w:color w:val="1C1C1C"/>
              </w:rPr>
              <w:t xml:space="preserve"> paragraphs of 5</w:t>
            </w:r>
            <w:r w:rsidRPr="00E834DA">
              <w:rPr>
                <w:rFonts w:ascii="Century" w:hAnsi="Century"/>
                <w:color w:val="1C1C1C"/>
                <w:vertAlign w:val="superscript"/>
              </w:rPr>
              <w:t>th</w:t>
            </w:r>
            <w:r w:rsidRPr="00E834DA">
              <w:rPr>
                <w:rFonts w:ascii="Century" w:hAnsi="Century"/>
                <w:color w:val="1C1C1C"/>
              </w:rPr>
              <w:t xml:space="preserve"> article, 3</w:t>
            </w:r>
            <w:r w:rsidRPr="00E834DA">
              <w:rPr>
                <w:rFonts w:ascii="Century" w:hAnsi="Century"/>
                <w:color w:val="1C1C1C"/>
                <w:vertAlign w:val="superscript"/>
              </w:rPr>
              <w:t>rd</w:t>
            </w:r>
            <w:r w:rsidRPr="00E834DA">
              <w:rPr>
                <w:rFonts w:ascii="Century" w:hAnsi="Century"/>
                <w:color w:val="1C1C1C"/>
              </w:rPr>
              <w:t xml:space="preserve"> paragraph of 6</w:t>
            </w:r>
            <w:r w:rsidRPr="00E834DA">
              <w:rPr>
                <w:rFonts w:ascii="Century" w:hAnsi="Century"/>
                <w:color w:val="1C1C1C"/>
                <w:vertAlign w:val="superscript"/>
              </w:rPr>
              <w:t>th</w:t>
            </w:r>
            <w:r w:rsidRPr="00E834DA">
              <w:rPr>
                <w:rFonts w:ascii="Century" w:hAnsi="Century"/>
                <w:color w:val="1C1C1C"/>
              </w:rPr>
              <w:t xml:space="preserve"> article and 17</w:t>
            </w:r>
            <w:r w:rsidRPr="00E834DA">
              <w:rPr>
                <w:rFonts w:ascii="Century" w:hAnsi="Century"/>
                <w:color w:val="1C1C1C"/>
                <w:vertAlign w:val="superscript"/>
              </w:rPr>
              <w:t>th</w:t>
            </w:r>
            <w:r w:rsidRPr="00E834DA">
              <w:rPr>
                <w:rFonts w:ascii="Century" w:hAnsi="Century"/>
                <w:color w:val="1C1C1C"/>
              </w:rPr>
              <w:t xml:space="preserve"> article (Enforcement) of Regulation of Technical Reserves and Assets Invested for these Reserves are modified with the Regulation established with the issue of the Official Gazette dated 10.18.2007.</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Actuarial Regulation is inured with the issue of 26614 of the Official Gazette dated 08.15.2007 as to be in force from 01.01.2008 (except temporary article 2 which comes to force from 08.15.2007).  Former Actuarial Regulation, which was established in the issue of 22363 of the Official Gazette dated 08.03.1995 is abrogated according to new regulation.</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Insurance Arbitration Regulation is inured with the issue 26616 of the Official Gazette dated 08.17.2007.</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21</w:t>
            </w:r>
            <w:r w:rsidRPr="00E834DA">
              <w:rPr>
                <w:rFonts w:ascii="Century" w:hAnsi="Century"/>
                <w:color w:val="1C1C1C"/>
                <w:vertAlign w:val="superscript"/>
              </w:rPr>
              <w:t>st</w:t>
            </w:r>
            <w:r w:rsidRPr="00E834DA">
              <w:rPr>
                <w:rFonts w:ascii="Century" w:hAnsi="Century"/>
                <w:color w:val="1C1C1C"/>
              </w:rPr>
              <w:t xml:space="preserve"> article of Regulation of Independent Audit in Insurance and Reinsurance Companies which was established with the issue of 25223 of the Official Gazette dated 09.08.2003 is modified with the Regulation established with the issue of the Official Gazette dated 05.03.2007.</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Regulation of Policy Implementation is inured with the issue of 26684 of the Official Gazette dated 10.28.2007 as to be in force fr</w:t>
            </w:r>
            <w:r w:rsidR="00374F1C">
              <w:rPr>
                <w:rFonts w:ascii="Century" w:hAnsi="Century"/>
                <w:color w:val="1C1C1C"/>
              </w:rPr>
              <w:t xml:space="preserve">om 03.01.2008 (except </w:t>
            </w:r>
            <w:r w:rsidRPr="00E834DA">
              <w:rPr>
                <w:rFonts w:ascii="Century" w:hAnsi="Century"/>
                <w:color w:val="1C1C1C"/>
              </w:rPr>
              <w:t>article 14 which comes to force from 10.28.2007).  Former Regulation, which was established in the issue of 26360 of the Official Gazette dated 11.28.2006 is abrogated according to new regulation.</w:t>
            </w:r>
          </w:p>
          <w:p w:rsidR="00545E34" w:rsidRPr="00E834DA" w:rsidRDefault="00545E34" w:rsidP="00545E34">
            <w:pPr>
              <w:jc w:val="both"/>
              <w:rPr>
                <w:rFonts w:ascii="Century" w:hAnsi="Century"/>
                <w:color w:val="1C1C1C"/>
              </w:rPr>
            </w:pPr>
          </w:p>
          <w:p w:rsidR="00AC7024" w:rsidRDefault="00AC7024" w:rsidP="00545E34">
            <w:pPr>
              <w:jc w:val="both"/>
              <w:rPr>
                <w:rFonts w:ascii="Century" w:hAnsi="Century"/>
                <w:color w:val="1C1C1C"/>
              </w:rPr>
            </w:pPr>
          </w:p>
          <w:p w:rsidR="00AD31DB" w:rsidRPr="00E834DA" w:rsidRDefault="00AD31DB"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Regulation of Motor TPL Insurance Information Center is inured with the issue of 26490 of the Official Gazette dated 04.11.2007.  Former Regulation, which was established in the issue of 25318 of the Official Gazette dated 12.16.2003 is abrogated according to new regulation.</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Private Pension Intermediaries Regulation is inured with the issue of 26616 of the Official Gazette dated 08.17.2007 as to be in force from 10.01.2007.  Former Regulation, which was established in the issue of 25391 of the Official Gazette dated 03.03.2004 is abrogated according to new regulation.</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Security Fund Regulation is inured with the issue of 26594 of the Official Gazette dated 07.26.2007. Former Guarantee Fund Regulation, which was established in the issue of 24804 of the Official Gazette dated 07.03.2002 is abrogated according to new regulation.</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School Service Vehicle Service Regulation is inured with the issue of 26627 of the Official Gazette dated 08.28.2007 as to be in force from 08.28.2007 (except clause f of 4</w:t>
            </w:r>
            <w:r w:rsidRPr="00E834DA">
              <w:rPr>
                <w:rFonts w:ascii="Century" w:hAnsi="Century"/>
                <w:color w:val="1C1C1C"/>
                <w:vertAlign w:val="superscript"/>
              </w:rPr>
              <w:t>th</w:t>
            </w:r>
            <w:r w:rsidRPr="00E834DA">
              <w:rPr>
                <w:rFonts w:ascii="Century" w:hAnsi="Century"/>
                <w:color w:val="1C1C1C"/>
              </w:rPr>
              <w:t xml:space="preserve"> article and clause e of 8</w:t>
            </w:r>
            <w:r w:rsidRPr="00E834DA">
              <w:rPr>
                <w:rFonts w:ascii="Century" w:hAnsi="Century"/>
                <w:color w:val="1C1C1C"/>
                <w:vertAlign w:val="superscript"/>
              </w:rPr>
              <w:t>th</w:t>
            </w:r>
            <w:r w:rsidRPr="00E834DA">
              <w:rPr>
                <w:rFonts w:ascii="Century" w:hAnsi="Century"/>
                <w:color w:val="1C1C1C"/>
              </w:rPr>
              <w:t xml:space="preserve"> article which comes to force from 08.28.2008).</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5</w:t>
            </w:r>
            <w:r w:rsidRPr="00E834DA">
              <w:rPr>
                <w:rFonts w:ascii="Century" w:hAnsi="Century"/>
                <w:color w:val="1C1C1C"/>
                <w:vertAlign w:val="superscript"/>
              </w:rPr>
              <w:t>th</w:t>
            </w:r>
            <w:r w:rsidRPr="00E834DA">
              <w:rPr>
                <w:rFonts w:ascii="Century" w:hAnsi="Century"/>
                <w:color w:val="1C1C1C"/>
              </w:rPr>
              <w:t xml:space="preserve"> paragraph of 1</w:t>
            </w:r>
            <w:r w:rsidRPr="00E834DA">
              <w:rPr>
                <w:rFonts w:ascii="Century" w:hAnsi="Century"/>
                <w:color w:val="1C1C1C"/>
                <w:vertAlign w:val="superscript"/>
              </w:rPr>
              <w:t>st</w:t>
            </w:r>
            <w:r w:rsidRPr="00E834DA">
              <w:rPr>
                <w:rFonts w:ascii="Century" w:hAnsi="Century"/>
                <w:color w:val="1C1C1C"/>
              </w:rPr>
              <w:t xml:space="preserve"> article (Tariffs and Directions) of Regulation of Agricultural Insurance Applications which was established with the issue of 26172 of the Official Gazette dated 05.18.2006 is modified with the Regulation established with the issue of the Official Gazette dated 02.02.2007.</w:t>
            </w:r>
          </w:p>
          <w:p w:rsidR="00545E34" w:rsidRPr="00E834DA" w:rsidRDefault="00545E34" w:rsidP="00545E34">
            <w:pPr>
              <w:jc w:val="both"/>
              <w:rPr>
                <w:rFonts w:ascii="Century" w:hAnsi="Century"/>
                <w:color w:val="1C1C1C"/>
              </w:rPr>
            </w:pPr>
          </w:p>
          <w:p w:rsidR="00545E34" w:rsidRPr="00E834DA" w:rsidRDefault="00545E34" w:rsidP="00545E34">
            <w:pPr>
              <w:numPr>
                <w:ilvl w:val="0"/>
                <w:numId w:val="28"/>
              </w:numPr>
              <w:jc w:val="both"/>
              <w:rPr>
                <w:rFonts w:ascii="Century" w:hAnsi="Century"/>
                <w:color w:val="1C1C1C"/>
              </w:rPr>
            </w:pPr>
            <w:r w:rsidRPr="00E834DA">
              <w:rPr>
                <w:rFonts w:ascii="Century" w:hAnsi="Century"/>
                <w:color w:val="1C1C1C"/>
              </w:rPr>
              <w:t>Clause a of 8</w:t>
            </w:r>
            <w:r w:rsidRPr="00E834DA">
              <w:rPr>
                <w:rFonts w:ascii="Century" w:hAnsi="Century"/>
                <w:color w:val="1C1C1C"/>
                <w:vertAlign w:val="superscript"/>
              </w:rPr>
              <w:t>th</w:t>
            </w:r>
            <w:r w:rsidRPr="00E834DA">
              <w:rPr>
                <w:rFonts w:ascii="Century" w:hAnsi="Century"/>
                <w:color w:val="1C1C1C"/>
              </w:rPr>
              <w:t xml:space="preserve"> article (Minimum Cover) Applications for Turkish aerial space Civil Aerial Vehicles Flying in Turkish Aerial Space Regulation which was established with the issue of 25994 of the Official Gazette dated 11.15.2005 is modified with the Regulation established with the issue of the Official Gazette dated 07.28.2007.</w:t>
            </w:r>
          </w:p>
          <w:p w:rsidR="00E834DA" w:rsidRPr="00E834DA" w:rsidRDefault="00E834DA" w:rsidP="00E834DA">
            <w:pPr>
              <w:jc w:val="both"/>
              <w:rPr>
                <w:rFonts w:ascii="Century" w:hAnsi="Century"/>
                <w:color w:val="1C1C1C"/>
              </w:rPr>
            </w:pPr>
          </w:p>
          <w:p w:rsidR="00E834DA" w:rsidRPr="00E834DA" w:rsidRDefault="00E834DA" w:rsidP="00E834DA">
            <w:pPr>
              <w:jc w:val="both"/>
              <w:rPr>
                <w:rFonts w:ascii="Century" w:hAnsi="Century"/>
                <w:b/>
                <w:color w:val="1C1C1C"/>
              </w:rPr>
            </w:pPr>
            <w:r w:rsidRPr="00E834DA">
              <w:rPr>
                <w:rFonts w:ascii="Century" w:hAnsi="Century"/>
                <w:b/>
                <w:color w:val="1C1C1C"/>
              </w:rPr>
              <w:t>3.3. Communiqués and Arbitraments</w:t>
            </w:r>
          </w:p>
          <w:p w:rsidR="00E834DA" w:rsidRPr="00E834DA" w:rsidRDefault="00E834DA" w:rsidP="00E834DA">
            <w:pPr>
              <w:jc w:val="both"/>
              <w:rPr>
                <w:rFonts w:ascii="Century" w:hAnsi="Century"/>
                <w:b/>
                <w:color w:val="1C1C1C"/>
              </w:rPr>
            </w:pPr>
          </w:p>
          <w:p w:rsidR="00E834DA" w:rsidRPr="00E834DA" w:rsidRDefault="00E834DA" w:rsidP="008021C9">
            <w:pPr>
              <w:numPr>
                <w:ilvl w:val="0"/>
                <w:numId w:val="29"/>
              </w:numPr>
              <w:jc w:val="both"/>
              <w:rPr>
                <w:rFonts w:ascii="Century" w:hAnsi="Century"/>
                <w:color w:val="1C1C1C"/>
              </w:rPr>
            </w:pPr>
            <w:r w:rsidRPr="00E834DA">
              <w:rPr>
                <w:rFonts w:ascii="Century" w:hAnsi="Century"/>
                <w:color w:val="1C1C1C"/>
              </w:rPr>
              <w:t>Decree “International Activities in Insurance Sector” is declared with the issue 26602 of the Official Gazette dated 08.03.2007.</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Communiqué “Insurance Branches” is declared with the issue of the Official Gazette dated 07.11.2007.</w:t>
            </w:r>
          </w:p>
          <w:p w:rsidR="00E834DA" w:rsidRPr="00E834DA" w:rsidRDefault="00E834DA" w:rsidP="00E834DA">
            <w:pPr>
              <w:jc w:val="both"/>
              <w:rPr>
                <w:rFonts w:ascii="Century" w:hAnsi="Century"/>
                <w:color w:val="1C1C1C"/>
              </w:rPr>
            </w:pPr>
          </w:p>
          <w:p w:rsidR="00E834DA" w:rsidRDefault="00E834DA" w:rsidP="00E834DA">
            <w:pPr>
              <w:numPr>
                <w:ilvl w:val="0"/>
                <w:numId w:val="29"/>
              </w:numPr>
              <w:jc w:val="both"/>
              <w:rPr>
                <w:rFonts w:ascii="Century" w:hAnsi="Century"/>
                <w:color w:val="1C1C1C"/>
              </w:rPr>
            </w:pPr>
            <w:r w:rsidRPr="00E834DA">
              <w:rPr>
                <w:rFonts w:ascii="Century" w:hAnsi="Century"/>
                <w:color w:val="1C1C1C"/>
              </w:rPr>
              <w:t>Several Articles (Tariff, Maximum Cover, Determination of Insurance Value, Commission to be paid to Authorized Insurance Companies and Intermediaries) of the Tariff and Directions of Compulsory Earthquake Insurance which was established with the issue 25324 of (Bis) Official Gazette dated 12.22.2003 are modified   with the Communiqué established in the issue of the Official Gazette dated 02.20.2007 to be in force from 02.22.2007.</w:t>
            </w:r>
          </w:p>
          <w:p w:rsidR="00E834DA" w:rsidRDefault="00E834DA" w:rsidP="00E834DA">
            <w:pPr>
              <w:jc w:val="both"/>
              <w:rPr>
                <w:rFonts w:ascii="Century" w:hAnsi="Century"/>
                <w:color w:val="1C1C1C"/>
              </w:rPr>
            </w:pPr>
          </w:p>
          <w:p w:rsidR="00E834DA" w:rsidRDefault="00E834DA" w:rsidP="00E834DA">
            <w:pPr>
              <w:ind w:left="360"/>
              <w:jc w:val="both"/>
              <w:rPr>
                <w:rFonts w:ascii="Century" w:hAnsi="Century"/>
                <w:color w:val="1C1C1C"/>
              </w:rPr>
            </w:pPr>
          </w:p>
          <w:p w:rsidR="00E834DA" w:rsidRPr="00E834DA" w:rsidRDefault="00E834DA" w:rsidP="00E834DA">
            <w:pPr>
              <w:ind w:left="360"/>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Tables in the chapters entitled “Tariff” and “No-Claims Bonus/Premium Increase Ratios” of Tariff and Directions of Compulsory Land Transportation TPL which was established with the issue of the Official Gazette dated 12.29.2005 are modified with the Communiqué established in the issue of the Official Gazette dated 12.29.2007 to be in force from 01.01.2008 and a new article entitled Application of new covers to existing policies to the tariff and directions.</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1</w:t>
            </w:r>
            <w:r w:rsidRPr="00E834DA">
              <w:rPr>
                <w:rFonts w:ascii="Century" w:hAnsi="Century"/>
                <w:color w:val="1C1C1C"/>
                <w:vertAlign w:val="superscript"/>
              </w:rPr>
              <w:t>st</w:t>
            </w:r>
            <w:r w:rsidRPr="00E834DA">
              <w:rPr>
                <w:rFonts w:ascii="Century" w:hAnsi="Century"/>
                <w:color w:val="1C1C1C"/>
              </w:rPr>
              <w:t xml:space="preserve"> paragraph of the article entitled Tariff of  Tariff and Directions of Compulsory Personal Accident for Passenger Land Transportation which was established with the issue of the Official Gazette dated 12.29.2005 is modified with the Communiqué established in the issue of the Official Gazette dated 12.29.2007.</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Clause “a” of article entitled “Uncovered Indemnity” and clause “a” of article entitled “Unless Otherwise Provided Uncovered Indemnity, Loss and Payment” of Professional Liability Insurance which was established with the issue of the Official Gazette dated 03.16.2006 are modified with the Communiqué established in the issue of the Official Gazette dated 05.03.2007.</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1</w:t>
            </w:r>
            <w:r w:rsidRPr="00E834DA">
              <w:rPr>
                <w:rFonts w:ascii="Century" w:hAnsi="Century"/>
                <w:color w:val="1C1C1C"/>
                <w:vertAlign w:val="superscript"/>
              </w:rPr>
              <w:t>st</w:t>
            </w:r>
            <w:r w:rsidRPr="00E834DA">
              <w:rPr>
                <w:rFonts w:ascii="Century" w:hAnsi="Century"/>
                <w:color w:val="1C1C1C"/>
              </w:rPr>
              <w:t xml:space="preserve"> paragraph of article entitled “Enclosure” and articles entitled “Claims of Uncovered Indemnity” and “Claims and Payments to be covered with Collateral Contract” of Professional Liability Insurance Physician Clause which was established with the issue of the Official Gazette dated 09.21.2006 are modified with the Communiqué established in the issue of the Official Gazette dated 05.03.2007.</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Professional Liability Insurance Public Accountant, Certified Public Accountant and Chartered Accountant Clause is inured with the issue 26511 of the Official Gazette dated 05.03.2007.</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Table in the chapter entitled “Tariff” of Tariff and Directions of Private Security TPL Insurance which was established with the issue of the Official Gazette dated 03.29.2006 is modified with the Communiqué established in the issue of the Official Gazette dated 03.27.2007.</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Decree “Excess of Loss Support Committed to Agricultural Insurance Pool by the Government” is declared with the issue of the Official Gazette dated 04.05.2007.</w:t>
            </w:r>
          </w:p>
          <w:p w:rsidR="00E834DA" w:rsidRPr="00E834DA" w:rsidRDefault="00E834DA" w:rsidP="00E834DA">
            <w:pPr>
              <w:jc w:val="both"/>
              <w:rPr>
                <w:rFonts w:ascii="Century" w:hAnsi="Century"/>
                <w:color w:val="1C1C1C"/>
              </w:rPr>
            </w:pPr>
          </w:p>
          <w:p w:rsidR="00E834DA" w:rsidRPr="00E834DA" w:rsidRDefault="00E834DA" w:rsidP="00E834DA">
            <w:pPr>
              <w:numPr>
                <w:ilvl w:val="0"/>
                <w:numId w:val="29"/>
              </w:numPr>
              <w:jc w:val="both"/>
              <w:rPr>
                <w:rFonts w:ascii="Century" w:hAnsi="Century"/>
                <w:color w:val="1C1C1C"/>
              </w:rPr>
            </w:pPr>
            <w:r w:rsidRPr="00E834DA">
              <w:rPr>
                <w:rFonts w:ascii="Century" w:hAnsi="Century"/>
                <w:color w:val="1C1C1C"/>
              </w:rPr>
              <w:t>Decree “Risks which will be covered, Products and Regional Premium Support Ratios by Agricultural Insurance Pool” is declared with the issue of the Official Gazette dated 12.30.2007.</w:t>
            </w:r>
          </w:p>
          <w:p w:rsidR="00E834DA" w:rsidRPr="00E834DA" w:rsidRDefault="00E834DA" w:rsidP="00E834DA">
            <w:pPr>
              <w:ind w:left="360"/>
              <w:jc w:val="both"/>
              <w:rPr>
                <w:rFonts w:ascii="Century" w:hAnsi="Century"/>
                <w:color w:val="1C1C1C"/>
              </w:rPr>
            </w:pPr>
          </w:p>
          <w:p w:rsidR="00545E34" w:rsidRPr="00E834DA" w:rsidRDefault="00545E34" w:rsidP="00545E34">
            <w:pPr>
              <w:jc w:val="both"/>
              <w:rPr>
                <w:rFonts w:ascii="Century" w:hAnsi="Century"/>
                <w:color w:val="1C1C1C"/>
              </w:rPr>
            </w:pPr>
          </w:p>
          <w:p w:rsidR="00D86152" w:rsidRPr="001E2EE1" w:rsidRDefault="00D86152" w:rsidP="00D614F7">
            <w:pPr>
              <w:jc w:val="both"/>
              <w:rPr>
                <w:rFonts w:ascii="Century" w:hAnsi="Century"/>
                <w:lang w:val="tr-TR"/>
              </w:rPr>
            </w:pPr>
          </w:p>
        </w:tc>
      </w:tr>
    </w:tbl>
    <w:p w:rsidR="00C252EF" w:rsidRPr="001E2EE1" w:rsidRDefault="00C252EF" w:rsidP="008D17FE">
      <w:pPr>
        <w:rPr>
          <w:rFonts w:ascii="Century" w:hAnsi="Century"/>
          <w:lang w:val="tr-TR"/>
        </w:rPr>
      </w:pPr>
    </w:p>
    <w:sectPr w:rsidR="00C252EF" w:rsidRPr="001E2EE1" w:rsidSect="00850CD7">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21E" w:rsidRDefault="007F621E" w:rsidP="004D36CF">
      <w:r>
        <w:separator/>
      </w:r>
    </w:p>
  </w:endnote>
  <w:endnote w:type="continuationSeparator" w:id="0">
    <w:p w:rsidR="007F621E" w:rsidRDefault="007F621E" w:rsidP="004D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D1" w:rsidRDefault="00F963D1" w:rsidP="00C1162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963D1" w:rsidRDefault="00F963D1" w:rsidP="00AB757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D1" w:rsidRPr="00E50CFF" w:rsidRDefault="00F963D1" w:rsidP="007A59D4">
    <w:pPr>
      <w:pStyle w:val="Altbilgi"/>
      <w:framePr w:wrap="around" w:vAnchor="text" w:hAnchor="page" w:x="5911" w:y="53"/>
      <w:rPr>
        <w:rStyle w:val="SayfaNumaras"/>
        <w:rFonts w:ascii="Century" w:hAnsi="Century"/>
        <w:sz w:val="20"/>
        <w:szCs w:val="20"/>
      </w:rPr>
    </w:pPr>
    <w:r w:rsidRPr="00E50CFF">
      <w:rPr>
        <w:rStyle w:val="SayfaNumaras"/>
      </w:rPr>
      <w:fldChar w:fldCharType="begin"/>
    </w:r>
    <w:r w:rsidRPr="00E50CFF">
      <w:rPr>
        <w:rStyle w:val="SayfaNumaras"/>
      </w:rPr>
      <w:instrText xml:space="preserve">PAGE  </w:instrText>
    </w:r>
    <w:r w:rsidRPr="00E50CFF">
      <w:rPr>
        <w:rStyle w:val="SayfaNumaras"/>
      </w:rPr>
      <w:fldChar w:fldCharType="separate"/>
    </w:r>
    <w:r w:rsidR="00E37517">
      <w:rPr>
        <w:rStyle w:val="SayfaNumaras"/>
        <w:noProof/>
      </w:rPr>
      <w:t>52</w:t>
    </w:r>
    <w:r w:rsidRPr="00E50CFF">
      <w:rPr>
        <w:rStyle w:val="SayfaNumaras"/>
      </w:rPr>
      <w:fldChar w:fldCharType="end"/>
    </w:r>
  </w:p>
  <w:tbl>
    <w:tblPr>
      <w:tblW w:w="9852" w:type="dxa"/>
      <w:tblInd w:w="-288" w:type="dxa"/>
      <w:tblBorders>
        <w:top w:val="single" w:sz="12" w:space="0" w:color="339966"/>
      </w:tblBorders>
      <w:tblLook w:val="04A0" w:firstRow="1" w:lastRow="0" w:firstColumn="1" w:lastColumn="0" w:noHBand="0" w:noVBand="1"/>
    </w:tblPr>
    <w:tblGrid>
      <w:gridCol w:w="4536"/>
      <w:gridCol w:w="900"/>
      <w:gridCol w:w="4416"/>
    </w:tblGrid>
    <w:tr w:rsidR="00F963D1" w:rsidRPr="005D408F">
      <w:tc>
        <w:tcPr>
          <w:tcW w:w="4536" w:type="dxa"/>
        </w:tcPr>
        <w:p w:rsidR="00F963D1" w:rsidRPr="005D408F" w:rsidRDefault="00F963D1" w:rsidP="00AB757E">
          <w:pPr>
            <w:pStyle w:val="Altbilgi"/>
            <w:ind w:right="360"/>
            <w:rPr>
              <w:rFonts w:ascii="Century" w:hAnsi="Century"/>
              <w:b/>
              <w:sz w:val="20"/>
              <w:szCs w:val="20"/>
            </w:rPr>
          </w:pPr>
          <w:r w:rsidRPr="005D408F">
            <w:rPr>
              <w:rFonts w:ascii="Century" w:hAnsi="Century"/>
              <w:b/>
              <w:i/>
              <w:color w:val="404040"/>
              <w:sz w:val="20"/>
              <w:szCs w:val="20"/>
            </w:rPr>
            <w:t>ISB</w:t>
          </w:r>
        </w:p>
      </w:tc>
      <w:tc>
        <w:tcPr>
          <w:tcW w:w="900" w:type="dxa"/>
          <w:vAlign w:val="center"/>
        </w:tcPr>
        <w:p w:rsidR="00F963D1" w:rsidRPr="005D408F" w:rsidRDefault="00F963D1" w:rsidP="00AB757E">
          <w:pPr>
            <w:pStyle w:val="Altbilgi"/>
            <w:jc w:val="center"/>
            <w:rPr>
              <w:rFonts w:ascii="Century" w:hAnsi="Century"/>
              <w:b/>
              <w:i/>
              <w:sz w:val="20"/>
              <w:szCs w:val="20"/>
            </w:rPr>
          </w:pPr>
        </w:p>
      </w:tc>
      <w:tc>
        <w:tcPr>
          <w:tcW w:w="4416" w:type="dxa"/>
        </w:tcPr>
        <w:p w:rsidR="00F963D1" w:rsidRPr="005D408F" w:rsidRDefault="00F963D1" w:rsidP="004D36CF">
          <w:pPr>
            <w:pStyle w:val="Altbilgi"/>
            <w:jc w:val="right"/>
            <w:rPr>
              <w:rFonts w:ascii="Century" w:hAnsi="Century"/>
              <w:b/>
              <w:i/>
              <w:color w:val="404040"/>
              <w:sz w:val="20"/>
              <w:szCs w:val="20"/>
            </w:rPr>
          </w:pPr>
          <w:r w:rsidRPr="005D408F">
            <w:rPr>
              <w:rFonts w:ascii="Century" w:hAnsi="Century"/>
              <w:b/>
              <w:i/>
              <w:color w:val="404040"/>
              <w:sz w:val="20"/>
              <w:szCs w:val="20"/>
            </w:rPr>
            <w:t>Insurance&amp;Pension Annual Report-200</w:t>
          </w:r>
          <w:r>
            <w:rPr>
              <w:rFonts w:ascii="Century" w:hAnsi="Century"/>
              <w:b/>
              <w:i/>
              <w:color w:val="404040"/>
              <w:sz w:val="20"/>
              <w:szCs w:val="20"/>
            </w:rPr>
            <w:t>7</w:t>
          </w:r>
        </w:p>
      </w:tc>
    </w:tr>
  </w:tbl>
  <w:p w:rsidR="00F963D1" w:rsidRDefault="00F963D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4" w:type="dxa"/>
      <w:tblInd w:w="-288" w:type="dxa"/>
      <w:tblBorders>
        <w:top w:val="single" w:sz="12" w:space="0" w:color="339966"/>
      </w:tblBorders>
      <w:tblLook w:val="04A0" w:firstRow="1" w:lastRow="0" w:firstColumn="1" w:lastColumn="0" w:noHBand="0" w:noVBand="1"/>
    </w:tblPr>
    <w:tblGrid>
      <w:gridCol w:w="4356"/>
      <w:gridCol w:w="900"/>
      <w:gridCol w:w="4608"/>
    </w:tblGrid>
    <w:tr w:rsidR="00F963D1">
      <w:tc>
        <w:tcPr>
          <w:tcW w:w="4356" w:type="dxa"/>
        </w:tcPr>
        <w:p w:rsidR="00F963D1" w:rsidRPr="007A59D4" w:rsidRDefault="00F963D1" w:rsidP="007A59D4">
          <w:pPr>
            <w:pStyle w:val="Altbilgi"/>
            <w:rPr>
              <w:b/>
              <w:i/>
              <w:sz w:val="22"/>
            </w:rPr>
          </w:pPr>
          <w:r w:rsidRPr="007A59D4">
            <w:rPr>
              <w:b/>
              <w:i/>
              <w:color w:val="404040"/>
              <w:sz w:val="22"/>
            </w:rPr>
            <w:t>ISB</w:t>
          </w:r>
        </w:p>
      </w:tc>
      <w:tc>
        <w:tcPr>
          <w:tcW w:w="900" w:type="dxa"/>
          <w:vAlign w:val="center"/>
        </w:tcPr>
        <w:p w:rsidR="00F963D1" w:rsidRPr="004D36CF" w:rsidRDefault="00F963D1" w:rsidP="00AB757E">
          <w:pPr>
            <w:pStyle w:val="Altbilgi"/>
            <w:jc w:val="center"/>
            <w:rPr>
              <w:b/>
              <w:i/>
            </w:rPr>
          </w:pPr>
        </w:p>
      </w:tc>
      <w:tc>
        <w:tcPr>
          <w:tcW w:w="4608" w:type="dxa"/>
        </w:tcPr>
        <w:p w:rsidR="00F963D1" w:rsidRPr="00AB757E" w:rsidRDefault="00F963D1" w:rsidP="00105640">
          <w:pPr>
            <w:pStyle w:val="Altbilgi"/>
            <w:jc w:val="right"/>
            <w:rPr>
              <w:b/>
              <w:i/>
              <w:color w:val="404040"/>
              <w:sz w:val="22"/>
            </w:rPr>
          </w:pPr>
          <w:r w:rsidRPr="004D36CF">
            <w:rPr>
              <w:b/>
              <w:i/>
              <w:color w:val="404040"/>
              <w:sz w:val="22"/>
            </w:rPr>
            <w:t>Insurance&amp;Pension Annual Report-200</w:t>
          </w:r>
          <w:r>
            <w:rPr>
              <w:b/>
              <w:i/>
              <w:color w:val="404040"/>
              <w:sz w:val="22"/>
            </w:rPr>
            <w:t>7</w:t>
          </w:r>
        </w:p>
      </w:tc>
    </w:tr>
  </w:tbl>
  <w:p w:rsidR="00F963D1" w:rsidRDefault="00F963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21E" w:rsidRDefault="007F621E" w:rsidP="004D36CF">
      <w:r>
        <w:separator/>
      </w:r>
    </w:p>
  </w:footnote>
  <w:footnote w:type="continuationSeparator" w:id="0">
    <w:p w:rsidR="007F621E" w:rsidRDefault="007F621E" w:rsidP="004D3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tblInd w:w="-288" w:type="dxa"/>
      <w:tblBorders>
        <w:bottom w:val="single" w:sz="12" w:space="0" w:color="339966"/>
      </w:tblBorders>
      <w:tblLook w:val="04A0" w:firstRow="1" w:lastRow="0" w:firstColumn="1" w:lastColumn="0" w:noHBand="0" w:noVBand="1"/>
    </w:tblPr>
    <w:tblGrid>
      <w:gridCol w:w="4536"/>
      <w:gridCol w:w="900"/>
      <w:gridCol w:w="4416"/>
    </w:tblGrid>
    <w:tr w:rsidR="00F963D1" w:rsidRPr="00C43A16">
      <w:tc>
        <w:tcPr>
          <w:tcW w:w="4536" w:type="dxa"/>
        </w:tcPr>
        <w:p w:rsidR="00F963D1" w:rsidRPr="005D408F" w:rsidRDefault="00F963D1" w:rsidP="00C1162C">
          <w:pPr>
            <w:pStyle w:val="Altbilgi"/>
            <w:ind w:right="360"/>
            <w:rPr>
              <w:rFonts w:ascii="Century" w:hAnsi="Century"/>
              <w:b/>
              <w:sz w:val="20"/>
              <w:szCs w:val="20"/>
            </w:rPr>
          </w:pPr>
          <w:r w:rsidRPr="005D408F">
            <w:rPr>
              <w:rFonts w:ascii="Century" w:hAnsi="Century"/>
              <w:b/>
              <w:sz w:val="20"/>
              <w:szCs w:val="20"/>
            </w:rPr>
            <w:t>SDK</w:t>
          </w:r>
        </w:p>
      </w:tc>
      <w:tc>
        <w:tcPr>
          <w:tcW w:w="900" w:type="dxa"/>
          <w:vAlign w:val="center"/>
        </w:tcPr>
        <w:p w:rsidR="00F963D1" w:rsidRPr="005D408F" w:rsidRDefault="00F963D1" w:rsidP="00C1162C">
          <w:pPr>
            <w:pStyle w:val="Altbilgi"/>
            <w:jc w:val="center"/>
            <w:rPr>
              <w:rFonts w:ascii="Century" w:hAnsi="Century"/>
              <w:b/>
              <w:i/>
              <w:sz w:val="20"/>
              <w:szCs w:val="20"/>
            </w:rPr>
          </w:pPr>
        </w:p>
      </w:tc>
      <w:tc>
        <w:tcPr>
          <w:tcW w:w="4416" w:type="dxa"/>
        </w:tcPr>
        <w:p w:rsidR="00F963D1" w:rsidRPr="00C42D85" w:rsidRDefault="00F963D1" w:rsidP="00C1162C">
          <w:pPr>
            <w:pStyle w:val="Altbilgi"/>
            <w:jc w:val="right"/>
            <w:rPr>
              <w:rFonts w:ascii="Century" w:hAnsi="Century"/>
              <w:b/>
              <w:color w:val="404040"/>
              <w:sz w:val="20"/>
              <w:szCs w:val="20"/>
              <w:lang w:val="fr-FR"/>
            </w:rPr>
          </w:pPr>
          <w:r w:rsidRPr="00C42D85">
            <w:rPr>
              <w:rFonts w:ascii="Century" w:hAnsi="Century"/>
              <w:b/>
              <w:color w:val="404040"/>
              <w:sz w:val="20"/>
              <w:szCs w:val="20"/>
              <w:lang w:val="fr-FR"/>
            </w:rPr>
            <w:t>Sigortacılık ve BES Faaliyet Raporu-2007</w:t>
          </w:r>
        </w:p>
      </w:tc>
    </w:tr>
  </w:tbl>
  <w:p w:rsidR="00F963D1" w:rsidRPr="00C43A16" w:rsidRDefault="00F963D1">
    <w:pPr>
      <w:pStyle w:val="stbilgi"/>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3D1" w:rsidRDefault="00F963D1" w:rsidP="00105640">
    <w:pPr>
      <w:pStyle w:val="stbilgi"/>
      <w:framePr w:wrap="auto" w:vAnchor="page" w:hAnchor="text" w:y="1548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614"/>
    <w:multiLevelType w:val="hybridMultilevel"/>
    <w:tmpl w:val="DDEAE8AC"/>
    <w:lvl w:ilvl="0" w:tplc="AB80DCFA">
      <w:start w:val="1"/>
      <w:numFmt w:val="lowerLetter"/>
      <w:lvlText w:val="%1)"/>
      <w:lvlJc w:val="left"/>
      <w:pPr>
        <w:tabs>
          <w:tab w:val="num" w:pos="720"/>
        </w:tabs>
        <w:ind w:left="720" w:hanging="210"/>
      </w:pPr>
      <w:rPr>
        <w:rFonts w:ascii="Times New Roman" w:eastAsia="Times New Roman" w:hAnsi="Times New Roman" w:cs="Times New Roman"/>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C9A1B2F"/>
    <w:multiLevelType w:val="hybridMultilevel"/>
    <w:tmpl w:val="104EEE9A"/>
    <w:lvl w:ilvl="0" w:tplc="2586DA02">
      <w:start w:val="1"/>
      <w:numFmt w:val="upperLetter"/>
      <w:lvlText w:val="%1."/>
      <w:lvlJc w:val="left"/>
      <w:pPr>
        <w:tabs>
          <w:tab w:val="num" w:pos="720"/>
        </w:tabs>
        <w:ind w:left="720" w:hanging="360"/>
      </w:pPr>
      <w:rPr>
        <w:rFonts w:ascii="Century" w:hAnsi="Century"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D6D4BBE"/>
    <w:multiLevelType w:val="hybridMultilevel"/>
    <w:tmpl w:val="D956431A"/>
    <w:lvl w:ilvl="0" w:tplc="B0485BC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107F1166"/>
    <w:multiLevelType w:val="hybridMultilevel"/>
    <w:tmpl w:val="166EBFE6"/>
    <w:lvl w:ilvl="0" w:tplc="0F58DDF8">
      <w:start w:val="1"/>
      <w:numFmt w:val="lowerLetter"/>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3880DD5"/>
    <w:multiLevelType w:val="hybridMultilevel"/>
    <w:tmpl w:val="C98E070C"/>
    <w:lvl w:ilvl="0" w:tplc="8996BB3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83143D1"/>
    <w:multiLevelType w:val="multilevel"/>
    <w:tmpl w:val="B310E55E"/>
    <w:lvl w:ilvl="0">
      <w:start w:val="1"/>
      <w:numFmt w:val="decimal"/>
      <w:lvlText w:val="%1."/>
      <w:lvlJc w:val="left"/>
      <w:pPr>
        <w:tabs>
          <w:tab w:val="num" w:pos="663"/>
        </w:tabs>
        <w:ind w:left="91" w:firstLine="0"/>
      </w:pPr>
      <w:rPr>
        <w:rFonts w:ascii="Century" w:hAnsi="Century"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66"/>
        </w:tabs>
        <w:ind w:left="90" w:firstLine="0"/>
      </w:pPr>
      <w:rPr>
        <w:rFonts w:ascii="Century" w:hAnsi="Century" w:hint="default"/>
        <w:b/>
        <w:i w:val="0"/>
        <w:sz w:val="24"/>
        <w:szCs w:val="26"/>
      </w:rPr>
    </w:lvl>
    <w:lvl w:ilvl="2">
      <w:start w:val="1"/>
      <w:numFmt w:val="decimal"/>
      <w:suff w:val="space"/>
      <w:lvlText w:val="%1.%2.%3."/>
      <w:lvlJc w:val="left"/>
      <w:pPr>
        <w:ind w:left="90" w:firstLine="0"/>
      </w:pPr>
      <w:rPr>
        <w:rFonts w:hint="default"/>
        <w:sz w:val="24"/>
        <w:szCs w:val="24"/>
      </w:rPr>
    </w:lvl>
    <w:lvl w:ilvl="3">
      <w:start w:val="1"/>
      <w:numFmt w:val="decimal"/>
      <w:lvlText w:val="%1.%2.%3.%4"/>
      <w:lvlJc w:val="left"/>
      <w:pPr>
        <w:tabs>
          <w:tab w:val="num" w:pos="1044"/>
        </w:tabs>
        <w:ind w:left="1044" w:hanging="864"/>
      </w:pPr>
      <w:rPr>
        <w:rFonts w:hint="default"/>
        <w:sz w:val="22"/>
        <w:szCs w:val="22"/>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6">
    <w:nsid w:val="1BB232C3"/>
    <w:multiLevelType w:val="hybridMultilevel"/>
    <w:tmpl w:val="5B44BA9A"/>
    <w:lvl w:ilvl="0" w:tplc="40D4733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7">
    <w:nsid w:val="203F3AF7"/>
    <w:multiLevelType w:val="hybridMultilevel"/>
    <w:tmpl w:val="6CE89F30"/>
    <w:lvl w:ilvl="0" w:tplc="E1EC9944">
      <w:start w:val="1"/>
      <w:numFmt w:val="lowerLetter"/>
      <w:lvlText w:val="%1)"/>
      <w:lvlJc w:val="left"/>
      <w:pPr>
        <w:tabs>
          <w:tab w:val="num" w:pos="735"/>
        </w:tabs>
        <w:ind w:left="735" w:hanging="3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16F3D21"/>
    <w:multiLevelType w:val="hybridMultilevel"/>
    <w:tmpl w:val="1228F2D0"/>
    <w:lvl w:ilvl="0" w:tplc="24704BB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2F76F70"/>
    <w:multiLevelType w:val="hybridMultilevel"/>
    <w:tmpl w:val="7AE40FFE"/>
    <w:lvl w:ilvl="0" w:tplc="503A4AE4">
      <w:start w:val="1"/>
      <w:numFmt w:val="lowerLetter"/>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3D66122"/>
    <w:multiLevelType w:val="multilevel"/>
    <w:tmpl w:val="4058C852"/>
    <w:lvl w:ilvl="0">
      <w:start w:val="2"/>
      <w:numFmt w:val="decimal"/>
      <w:lvlText w:val="%1."/>
      <w:lvlJc w:val="left"/>
      <w:pPr>
        <w:tabs>
          <w:tab w:val="num" w:pos="0"/>
        </w:tabs>
        <w:ind w:left="645" w:hanging="645"/>
      </w:pPr>
      <w:rPr>
        <w:rFonts w:hint="default"/>
      </w:rPr>
    </w:lvl>
    <w:lvl w:ilvl="1">
      <w:start w:val="1"/>
      <w:numFmt w:val="decimal"/>
      <w:lvlText w:val="%1.%2."/>
      <w:lvlJc w:val="left"/>
      <w:pPr>
        <w:tabs>
          <w:tab w:val="num" w:pos="-90"/>
        </w:tabs>
        <w:ind w:left="720" w:hanging="720"/>
      </w:pPr>
      <w:rPr>
        <w:rFonts w:ascii="Century" w:hAnsi="Century" w:hint="default"/>
        <w:b/>
        <w:i w:val="0"/>
        <w:sz w:val="24"/>
      </w:rPr>
    </w:lvl>
    <w:lvl w:ilvl="2">
      <w:start w:val="1"/>
      <w:numFmt w:val="decimal"/>
      <w:lvlText w:val="%1.%2.%3."/>
      <w:lvlJc w:val="left"/>
      <w:pPr>
        <w:tabs>
          <w:tab w:val="num" w:pos="0"/>
        </w:tabs>
        <w:ind w:left="990" w:hanging="720"/>
      </w:pPr>
      <w:rPr>
        <w:rFonts w:hint="default"/>
      </w:rPr>
    </w:lvl>
    <w:lvl w:ilvl="3">
      <w:start w:val="1"/>
      <w:numFmt w:val="decimal"/>
      <w:lvlText w:val="%1.%2.%3.%4."/>
      <w:lvlJc w:val="left"/>
      <w:pPr>
        <w:tabs>
          <w:tab w:val="num" w:pos="0"/>
        </w:tabs>
        <w:ind w:left="135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90" w:hanging="1440"/>
      </w:pPr>
      <w:rPr>
        <w:rFonts w:hint="default"/>
      </w:rPr>
    </w:lvl>
    <w:lvl w:ilvl="6">
      <w:start w:val="1"/>
      <w:numFmt w:val="decimal"/>
      <w:lvlText w:val="%1.%2.%3.%4.%5.%6.%7."/>
      <w:lvlJc w:val="left"/>
      <w:pPr>
        <w:tabs>
          <w:tab w:val="num" w:pos="0"/>
        </w:tabs>
        <w:ind w:left="1980" w:hanging="1440"/>
      </w:pPr>
      <w:rPr>
        <w:rFonts w:hint="default"/>
      </w:rPr>
    </w:lvl>
    <w:lvl w:ilvl="7">
      <w:start w:val="1"/>
      <w:numFmt w:val="decimal"/>
      <w:lvlText w:val="%1.%2.%3.%4.%5.%6.%7.%8."/>
      <w:lvlJc w:val="left"/>
      <w:pPr>
        <w:tabs>
          <w:tab w:val="num" w:pos="0"/>
        </w:tabs>
        <w:ind w:left="2430" w:hanging="1800"/>
      </w:pPr>
      <w:rPr>
        <w:rFonts w:hint="default"/>
      </w:rPr>
    </w:lvl>
    <w:lvl w:ilvl="8">
      <w:start w:val="1"/>
      <w:numFmt w:val="decimal"/>
      <w:lvlText w:val="%1.%2.%3.%4.%5.%6.%7.%8.%9."/>
      <w:lvlJc w:val="left"/>
      <w:pPr>
        <w:tabs>
          <w:tab w:val="num" w:pos="0"/>
        </w:tabs>
        <w:ind w:left="2880" w:hanging="2160"/>
      </w:pPr>
      <w:rPr>
        <w:rFonts w:hint="default"/>
      </w:rPr>
    </w:lvl>
  </w:abstractNum>
  <w:abstractNum w:abstractNumId="11">
    <w:nsid w:val="3A7E2F50"/>
    <w:multiLevelType w:val="hybridMultilevel"/>
    <w:tmpl w:val="8296250A"/>
    <w:lvl w:ilvl="0" w:tplc="91D2AF1A">
      <w:start w:val="1"/>
      <w:numFmt w:val="bullet"/>
      <w:lvlText w:val=""/>
      <w:lvlJc w:val="left"/>
      <w:pPr>
        <w:tabs>
          <w:tab w:val="num" w:pos="-180"/>
        </w:tabs>
        <w:ind w:left="64" w:hanging="244"/>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B666965"/>
    <w:multiLevelType w:val="hybridMultilevel"/>
    <w:tmpl w:val="C5805E3A"/>
    <w:lvl w:ilvl="0" w:tplc="634E2BC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4E41A9E"/>
    <w:multiLevelType w:val="hybridMultilevel"/>
    <w:tmpl w:val="ABBCC950"/>
    <w:lvl w:ilvl="0" w:tplc="AB80DCFA">
      <w:start w:val="1"/>
      <w:numFmt w:val="lowerLetter"/>
      <w:lvlText w:val="%1)"/>
      <w:lvlJc w:val="left"/>
      <w:pPr>
        <w:tabs>
          <w:tab w:val="num" w:pos="720"/>
        </w:tabs>
        <w:ind w:left="720" w:hanging="21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C3378BF"/>
    <w:multiLevelType w:val="hybridMultilevel"/>
    <w:tmpl w:val="EE582530"/>
    <w:lvl w:ilvl="0" w:tplc="2586DA02">
      <w:start w:val="1"/>
      <w:numFmt w:val="upperLetter"/>
      <w:lvlText w:val="%1."/>
      <w:lvlJc w:val="left"/>
      <w:pPr>
        <w:tabs>
          <w:tab w:val="num" w:pos="720"/>
        </w:tabs>
        <w:ind w:left="720" w:hanging="360"/>
      </w:pPr>
      <w:rPr>
        <w:rFonts w:ascii="Century" w:hAnsi="Century"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D7F33BD"/>
    <w:multiLevelType w:val="multilevel"/>
    <w:tmpl w:val="0E7ACF58"/>
    <w:lvl w:ilvl="0">
      <w:start w:val="3"/>
      <w:numFmt w:val="decimal"/>
      <w:lvlText w:val="%1."/>
      <w:lvlJc w:val="left"/>
      <w:pPr>
        <w:ind w:left="495" w:hanging="495"/>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2880" w:hanging="2160"/>
      </w:pPr>
      <w:rPr>
        <w:rFonts w:hint="default"/>
      </w:rPr>
    </w:lvl>
  </w:abstractNum>
  <w:abstractNum w:abstractNumId="16">
    <w:nsid w:val="56AD6B97"/>
    <w:multiLevelType w:val="hybridMultilevel"/>
    <w:tmpl w:val="C30E9AAE"/>
    <w:lvl w:ilvl="0" w:tplc="A2DEAFD4">
      <w:start w:val="1"/>
      <w:numFmt w:val="lowerLetter"/>
      <w:lvlText w:val="%1)"/>
      <w:lvlJc w:val="left"/>
      <w:pPr>
        <w:tabs>
          <w:tab w:val="num" w:pos="720"/>
        </w:tabs>
        <w:ind w:left="720" w:hanging="360"/>
      </w:pPr>
      <w:rPr>
        <w:rFonts w:ascii="Century" w:hAnsi="Century"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B6C1938"/>
    <w:multiLevelType w:val="hybridMultilevel"/>
    <w:tmpl w:val="1504AA8E"/>
    <w:lvl w:ilvl="0" w:tplc="8DE4E1FC">
      <w:start w:val="1"/>
      <w:numFmt w:val="lowerLetter"/>
      <w:lvlText w:val="%1)"/>
      <w:lvlJc w:val="left"/>
      <w:pPr>
        <w:tabs>
          <w:tab w:val="num" w:pos="720"/>
        </w:tabs>
        <w:ind w:left="720" w:hanging="21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B935823"/>
    <w:multiLevelType w:val="hybridMultilevel"/>
    <w:tmpl w:val="9DE2520E"/>
    <w:lvl w:ilvl="0" w:tplc="2586DA02">
      <w:start w:val="1"/>
      <w:numFmt w:val="upperLetter"/>
      <w:lvlText w:val="%1."/>
      <w:lvlJc w:val="left"/>
      <w:pPr>
        <w:tabs>
          <w:tab w:val="num" w:pos="720"/>
        </w:tabs>
        <w:ind w:left="720" w:hanging="360"/>
      </w:pPr>
      <w:rPr>
        <w:rFonts w:ascii="Century" w:hAnsi="Century" w:hint="default"/>
        <w:b/>
        <w:i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5E24A04"/>
    <w:multiLevelType w:val="hybridMultilevel"/>
    <w:tmpl w:val="2F94C7E0"/>
    <w:lvl w:ilvl="0" w:tplc="C298EAB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7045201"/>
    <w:multiLevelType w:val="multilevel"/>
    <w:tmpl w:val="B310E55E"/>
    <w:lvl w:ilvl="0">
      <w:start w:val="1"/>
      <w:numFmt w:val="decimal"/>
      <w:pStyle w:val="Style2"/>
      <w:lvlText w:val="%1."/>
      <w:lvlJc w:val="left"/>
      <w:pPr>
        <w:tabs>
          <w:tab w:val="num" w:pos="663"/>
        </w:tabs>
        <w:ind w:left="91" w:firstLine="0"/>
      </w:pPr>
      <w:rPr>
        <w:rFonts w:ascii="Century" w:hAnsi="Century" w:cs="Times New Roman" w:hint="default"/>
        <w:b/>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tabs>
          <w:tab w:val="num" w:pos="666"/>
        </w:tabs>
        <w:ind w:left="90" w:firstLine="0"/>
      </w:pPr>
      <w:rPr>
        <w:rFonts w:ascii="Century" w:hAnsi="Century" w:hint="default"/>
        <w:b/>
        <w:i w:val="0"/>
        <w:sz w:val="24"/>
        <w:szCs w:val="26"/>
      </w:rPr>
    </w:lvl>
    <w:lvl w:ilvl="2">
      <w:start w:val="1"/>
      <w:numFmt w:val="decimal"/>
      <w:pStyle w:val="Balk3"/>
      <w:suff w:val="space"/>
      <w:lvlText w:val="%1.%2.%3."/>
      <w:lvlJc w:val="left"/>
      <w:pPr>
        <w:ind w:left="90" w:firstLine="0"/>
      </w:pPr>
      <w:rPr>
        <w:rFonts w:hint="default"/>
        <w:sz w:val="24"/>
        <w:szCs w:val="24"/>
      </w:rPr>
    </w:lvl>
    <w:lvl w:ilvl="3">
      <w:start w:val="1"/>
      <w:numFmt w:val="decimal"/>
      <w:pStyle w:val="Balk4"/>
      <w:lvlText w:val="%1.%2.%3.%4"/>
      <w:lvlJc w:val="left"/>
      <w:pPr>
        <w:tabs>
          <w:tab w:val="num" w:pos="1044"/>
        </w:tabs>
        <w:ind w:left="1044" w:hanging="864"/>
      </w:pPr>
      <w:rPr>
        <w:rFonts w:hint="default"/>
        <w:sz w:val="22"/>
        <w:szCs w:val="22"/>
      </w:rPr>
    </w:lvl>
    <w:lvl w:ilvl="4">
      <w:start w:val="1"/>
      <w:numFmt w:val="decimal"/>
      <w:pStyle w:val="Balk5"/>
      <w:lvlText w:val="%1.%2.%3.%4.%5"/>
      <w:lvlJc w:val="left"/>
      <w:pPr>
        <w:tabs>
          <w:tab w:val="num" w:pos="1188"/>
        </w:tabs>
        <w:ind w:left="1188" w:hanging="1008"/>
      </w:pPr>
      <w:rPr>
        <w:rFonts w:hint="default"/>
      </w:rPr>
    </w:lvl>
    <w:lvl w:ilvl="5">
      <w:start w:val="1"/>
      <w:numFmt w:val="decimal"/>
      <w:pStyle w:val="Balk6"/>
      <w:lvlText w:val="%1.%2.%3.%4.%5.%6"/>
      <w:lvlJc w:val="left"/>
      <w:pPr>
        <w:tabs>
          <w:tab w:val="num" w:pos="1332"/>
        </w:tabs>
        <w:ind w:left="1332" w:hanging="1152"/>
      </w:pPr>
      <w:rPr>
        <w:rFonts w:hint="default"/>
      </w:rPr>
    </w:lvl>
    <w:lvl w:ilvl="6">
      <w:start w:val="1"/>
      <w:numFmt w:val="decimal"/>
      <w:pStyle w:val="Balk7"/>
      <w:lvlText w:val="%1.%2.%3.%4.%5.%6.%7"/>
      <w:lvlJc w:val="left"/>
      <w:pPr>
        <w:tabs>
          <w:tab w:val="num" w:pos="1476"/>
        </w:tabs>
        <w:ind w:left="1476" w:hanging="1296"/>
      </w:pPr>
      <w:rPr>
        <w:rFonts w:hint="default"/>
      </w:rPr>
    </w:lvl>
    <w:lvl w:ilvl="7">
      <w:start w:val="1"/>
      <w:numFmt w:val="decimal"/>
      <w:pStyle w:val="Balk8"/>
      <w:lvlText w:val="%1.%2.%3.%4.%5.%6.%7.%8"/>
      <w:lvlJc w:val="left"/>
      <w:pPr>
        <w:tabs>
          <w:tab w:val="num" w:pos="1620"/>
        </w:tabs>
        <w:ind w:left="1620" w:hanging="1440"/>
      </w:pPr>
      <w:rPr>
        <w:rFonts w:hint="default"/>
      </w:rPr>
    </w:lvl>
    <w:lvl w:ilvl="8">
      <w:start w:val="1"/>
      <w:numFmt w:val="decimal"/>
      <w:pStyle w:val="Balk9"/>
      <w:lvlText w:val="%1.%2.%3.%4.%5.%6.%7.%8.%9"/>
      <w:lvlJc w:val="left"/>
      <w:pPr>
        <w:tabs>
          <w:tab w:val="num" w:pos="1764"/>
        </w:tabs>
        <w:ind w:left="1764" w:hanging="1584"/>
      </w:pPr>
      <w:rPr>
        <w:rFonts w:hint="default"/>
      </w:rPr>
    </w:lvl>
  </w:abstractNum>
  <w:abstractNum w:abstractNumId="21">
    <w:nsid w:val="685A079C"/>
    <w:multiLevelType w:val="multilevel"/>
    <w:tmpl w:val="4C1EA138"/>
    <w:lvl w:ilvl="0">
      <w:start w:val="2"/>
      <w:numFmt w:val="decimal"/>
      <w:lvlText w:val="%1."/>
      <w:lvlJc w:val="left"/>
      <w:pPr>
        <w:ind w:left="645" w:hanging="645"/>
      </w:pPr>
      <w:rPr>
        <w:rFonts w:hint="default"/>
      </w:rPr>
    </w:lvl>
    <w:lvl w:ilvl="1">
      <w:start w:val="4"/>
      <w:numFmt w:val="decimal"/>
      <w:lvlText w:val="%1.%2."/>
      <w:lvlJc w:val="left"/>
      <w:pPr>
        <w:ind w:left="810"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2">
    <w:nsid w:val="6A2B511B"/>
    <w:multiLevelType w:val="hybridMultilevel"/>
    <w:tmpl w:val="7390CD32"/>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ADA00F9"/>
    <w:multiLevelType w:val="hybridMultilevel"/>
    <w:tmpl w:val="CA8CE51A"/>
    <w:lvl w:ilvl="0" w:tplc="4D204250">
      <w:start w:val="1"/>
      <w:numFmt w:val="lowerLetter"/>
      <w:lvlText w:val="%1)"/>
      <w:lvlJc w:val="left"/>
      <w:pPr>
        <w:tabs>
          <w:tab w:val="num" w:pos="720"/>
        </w:tabs>
        <w:ind w:left="720" w:hanging="360"/>
      </w:pPr>
      <w:rPr>
        <w:rFonts w:ascii="Century" w:hAnsi="Century" w:cs="Times New Roman"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B491A94"/>
    <w:multiLevelType w:val="hybridMultilevel"/>
    <w:tmpl w:val="ED78A302"/>
    <w:lvl w:ilvl="0" w:tplc="1E888C98">
      <w:start w:val="1"/>
      <w:numFmt w:val="lowerLetter"/>
      <w:lvlText w:val="%1)"/>
      <w:lvlJc w:val="left"/>
      <w:pPr>
        <w:tabs>
          <w:tab w:val="num" w:pos="720"/>
        </w:tabs>
        <w:ind w:left="720" w:hanging="360"/>
      </w:pPr>
      <w:rPr>
        <w:rFonts w:hint="default"/>
        <w:color w:val="595959"/>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FCE7535"/>
    <w:multiLevelType w:val="hybridMultilevel"/>
    <w:tmpl w:val="EC3C5918"/>
    <w:lvl w:ilvl="0" w:tplc="0409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64515BC"/>
    <w:multiLevelType w:val="hybridMultilevel"/>
    <w:tmpl w:val="5B16C602"/>
    <w:lvl w:ilvl="0" w:tplc="5C98B014">
      <w:start w:val="1"/>
      <w:numFmt w:val="lowerLetter"/>
      <w:lvlText w:val="%1)"/>
      <w:lvlJc w:val="left"/>
      <w:pPr>
        <w:tabs>
          <w:tab w:val="num" w:pos="885"/>
        </w:tabs>
        <w:ind w:left="885" w:hanging="52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A4D2D6F"/>
    <w:multiLevelType w:val="hybridMultilevel"/>
    <w:tmpl w:val="EE92DAAA"/>
    <w:lvl w:ilvl="0" w:tplc="4D4CCDC8">
      <w:start w:val="1"/>
      <w:numFmt w:val="lowerLetter"/>
      <w:lvlText w:val="%1)"/>
      <w:lvlJc w:val="left"/>
      <w:pPr>
        <w:tabs>
          <w:tab w:val="num" w:pos="720"/>
        </w:tabs>
        <w:ind w:left="720" w:hanging="360"/>
      </w:pPr>
      <w:rPr>
        <w:rFonts w:ascii="Century" w:eastAsia="Times New Roman" w:hAnsi="Century" w:cs="Arial"/>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7"/>
  </w:num>
  <w:num w:numId="3">
    <w:abstractNumId w:val="23"/>
  </w:num>
  <w:num w:numId="4">
    <w:abstractNumId w:val="17"/>
  </w:num>
  <w:num w:numId="5">
    <w:abstractNumId w:val="0"/>
  </w:num>
  <w:num w:numId="6">
    <w:abstractNumId w:val="25"/>
  </w:num>
  <w:num w:numId="7">
    <w:abstractNumId w:val="21"/>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18"/>
  </w:num>
  <w:num w:numId="13">
    <w:abstractNumId w:val="13"/>
  </w:num>
  <w:num w:numId="14">
    <w:abstractNumId w:val="22"/>
  </w:num>
  <w:num w:numId="15">
    <w:abstractNumId w:val="10"/>
  </w:num>
  <w:num w:numId="16">
    <w:abstractNumId w:val="24"/>
  </w:num>
  <w:num w:numId="17">
    <w:abstractNumId w:val="11"/>
  </w:num>
  <w:num w:numId="18">
    <w:abstractNumId w:val="26"/>
  </w:num>
  <w:num w:numId="19">
    <w:abstractNumId w:val="12"/>
  </w:num>
  <w:num w:numId="20">
    <w:abstractNumId w:val="9"/>
  </w:num>
  <w:num w:numId="21">
    <w:abstractNumId w:val="19"/>
  </w:num>
  <w:num w:numId="22">
    <w:abstractNumId w:val="3"/>
  </w:num>
  <w:num w:numId="23">
    <w:abstractNumId w:val="16"/>
  </w:num>
  <w:num w:numId="24">
    <w:abstractNumId w:val="4"/>
  </w:num>
  <w:num w:numId="25">
    <w:abstractNumId w:val="7"/>
  </w:num>
  <w:num w:numId="26">
    <w:abstractNumId w:val="15"/>
  </w:num>
  <w:num w:numId="27">
    <w:abstractNumId w:val="8"/>
  </w:num>
  <w:num w:numId="28">
    <w:abstractNumId w:val="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0F0"/>
    <w:rsid w:val="00002C33"/>
    <w:rsid w:val="0000592D"/>
    <w:rsid w:val="00005E62"/>
    <w:rsid w:val="00006198"/>
    <w:rsid w:val="00006343"/>
    <w:rsid w:val="0001052D"/>
    <w:rsid w:val="00011474"/>
    <w:rsid w:val="00011FE7"/>
    <w:rsid w:val="00012677"/>
    <w:rsid w:val="00013875"/>
    <w:rsid w:val="00014741"/>
    <w:rsid w:val="000150CA"/>
    <w:rsid w:val="0001780E"/>
    <w:rsid w:val="00020627"/>
    <w:rsid w:val="00021035"/>
    <w:rsid w:val="00023679"/>
    <w:rsid w:val="00025554"/>
    <w:rsid w:val="000262CE"/>
    <w:rsid w:val="0002634F"/>
    <w:rsid w:val="00027E4D"/>
    <w:rsid w:val="00027F7F"/>
    <w:rsid w:val="00030B84"/>
    <w:rsid w:val="00034F76"/>
    <w:rsid w:val="000355EE"/>
    <w:rsid w:val="00035AFE"/>
    <w:rsid w:val="0003767C"/>
    <w:rsid w:val="0003798C"/>
    <w:rsid w:val="00037DD0"/>
    <w:rsid w:val="00041141"/>
    <w:rsid w:val="00041804"/>
    <w:rsid w:val="00042013"/>
    <w:rsid w:val="00043E6D"/>
    <w:rsid w:val="0004427B"/>
    <w:rsid w:val="000447FE"/>
    <w:rsid w:val="00044C7D"/>
    <w:rsid w:val="00045E2C"/>
    <w:rsid w:val="00055418"/>
    <w:rsid w:val="00056A7F"/>
    <w:rsid w:val="000579E0"/>
    <w:rsid w:val="00060976"/>
    <w:rsid w:val="00060F38"/>
    <w:rsid w:val="00060FCA"/>
    <w:rsid w:val="000611AD"/>
    <w:rsid w:val="00061627"/>
    <w:rsid w:val="00061865"/>
    <w:rsid w:val="000621EB"/>
    <w:rsid w:val="00063035"/>
    <w:rsid w:val="00063D2E"/>
    <w:rsid w:val="000655DC"/>
    <w:rsid w:val="00070BAB"/>
    <w:rsid w:val="00070CAF"/>
    <w:rsid w:val="0007149E"/>
    <w:rsid w:val="00071590"/>
    <w:rsid w:val="00071F8E"/>
    <w:rsid w:val="00072B1F"/>
    <w:rsid w:val="0008185D"/>
    <w:rsid w:val="00082109"/>
    <w:rsid w:val="0008236F"/>
    <w:rsid w:val="0008341C"/>
    <w:rsid w:val="00083E70"/>
    <w:rsid w:val="00083F39"/>
    <w:rsid w:val="00084428"/>
    <w:rsid w:val="000844FA"/>
    <w:rsid w:val="00085BF9"/>
    <w:rsid w:val="000863BE"/>
    <w:rsid w:val="00086658"/>
    <w:rsid w:val="00087614"/>
    <w:rsid w:val="000902C4"/>
    <w:rsid w:val="00090550"/>
    <w:rsid w:val="00090A41"/>
    <w:rsid w:val="00092431"/>
    <w:rsid w:val="0009430B"/>
    <w:rsid w:val="00096277"/>
    <w:rsid w:val="000A4FDE"/>
    <w:rsid w:val="000A59DB"/>
    <w:rsid w:val="000A6C9C"/>
    <w:rsid w:val="000B012E"/>
    <w:rsid w:val="000B1865"/>
    <w:rsid w:val="000B230B"/>
    <w:rsid w:val="000B3500"/>
    <w:rsid w:val="000B397E"/>
    <w:rsid w:val="000B6158"/>
    <w:rsid w:val="000B6AA3"/>
    <w:rsid w:val="000C0C73"/>
    <w:rsid w:val="000C3415"/>
    <w:rsid w:val="000C3F9B"/>
    <w:rsid w:val="000D0369"/>
    <w:rsid w:val="000D1AE9"/>
    <w:rsid w:val="000D23A9"/>
    <w:rsid w:val="000D53AB"/>
    <w:rsid w:val="000D6AB7"/>
    <w:rsid w:val="000D79CE"/>
    <w:rsid w:val="000D7EF6"/>
    <w:rsid w:val="000E3F3E"/>
    <w:rsid w:val="000E3FFF"/>
    <w:rsid w:val="000E4682"/>
    <w:rsid w:val="000E505B"/>
    <w:rsid w:val="000E5EA2"/>
    <w:rsid w:val="000E6E5F"/>
    <w:rsid w:val="000F266F"/>
    <w:rsid w:val="000F48E7"/>
    <w:rsid w:val="000F5EF1"/>
    <w:rsid w:val="000F7D16"/>
    <w:rsid w:val="0010080F"/>
    <w:rsid w:val="00102777"/>
    <w:rsid w:val="001034DF"/>
    <w:rsid w:val="00104FEC"/>
    <w:rsid w:val="0010505B"/>
    <w:rsid w:val="00105640"/>
    <w:rsid w:val="00106C2C"/>
    <w:rsid w:val="0010748F"/>
    <w:rsid w:val="001100DC"/>
    <w:rsid w:val="001118AE"/>
    <w:rsid w:val="00113836"/>
    <w:rsid w:val="00113961"/>
    <w:rsid w:val="00116533"/>
    <w:rsid w:val="00124192"/>
    <w:rsid w:val="00125AC5"/>
    <w:rsid w:val="00125E56"/>
    <w:rsid w:val="001269B8"/>
    <w:rsid w:val="00126D7F"/>
    <w:rsid w:val="001300D8"/>
    <w:rsid w:val="00132F40"/>
    <w:rsid w:val="00133A23"/>
    <w:rsid w:val="001343F0"/>
    <w:rsid w:val="00134B5B"/>
    <w:rsid w:val="00136F54"/>
    <w:rsid w:val="00137A44"/>
    <w:rsid w:val="00140277"/>
    <w:rsid w:val="00140EE2"/>
    <w:rsid w:val="00140F46"/>
    <w:rsid w:val="00142E5A"/>
    <w:rsid w:val="001438D8"/>
    <w:rsid w:val="00143D14"/>
    <w:rsid w:val="00143F61"/>
    <w:rsid w:val="001461DA"/>
    <w:rsid w:val="0014625B"/>
    <w:rsid w:val="001509DD"/>
    <w:rsid w:val="0015194C"/>
    <w:rsid w:val="00151FF9"/>
    <w:rsid w:val="00154812"/>
    <w:rsid w:val="0015507C"/>
    <w:rsid w:val="001642EB"/>
    <w:rsid w:val="001657F9"/>
    <w:rsid w:val="0016702B"/>
    <w:rsid w:val="001700F0"/>
    <w:rsid w:val="0017080F"/>
    <w:rsid w:val="00172AA3"/>
    <w:rsid w:val="0017349F"/>
    <w:rsid w:val="00173EB0"/>
    <w:rsid w:val="00174660"/>
    <w:rsid w:val="00174C85"/>
    <w:rsid w:val="001755F4"/>
    <w:rsid w:val="00177052"/>
    <w:rsid w:val="00177C65"/>
    <w:rsid w:val="00180985"/>
    <w:rsid w:val="00180F1B"/>
    <w:rsid w:val="0018238D"/>
    <w:rsid w:val="00182B04"/>
    <w:rsid w:val="00183B7E"/>
    <w:rsid w:val="0018531D"/>
    <w:rsid w:val="001859E0"/>
    <w:rsid w:val="00191073"/>
    <w:rsid w:val="0019339C"/>
    <w:rsid w:val="001A0C04"/>
    <w:rsid w:val="001A11B1"/>
    <w:rsid w:val="001A6DAB"/>
    <w:rsid w:val="001B1594"/>
    <w:rsid w:val="001B3384"/>
    <w:rsid w:val="001B5AE3"/>
    <w:rsid w:val="001B7CDA"/>
    <w:rsid w:val="001C2B9A"/>
    <w:rsid w:val="001C40C7"/>
    <w:rsid w:val="001C4427"/>
    <w:rsid w:val="001C5D31"/>
    <w:rsid w:val="001D180C"/>
    <w:rsid w:val="001D1B4E"/>
    <w:rsid w:val="001D4564"/>
    <w:rsid w:val="001D618F"/>
    <w:rsid w:val="001D6CF5"/>
    <w:rsid w:val="001E01F0"/>
    <w:rsid w:val="001E10B0"/>
    <w:rsid w:val="001E203D"/>
    <w:rsid w:val="001E2EE1"/>
    <w:rsid w:val="001E7472"/>
    <w:rsid w:val="001E7F67"/>
    <w:rsid w:val="001F15B0"/>
    <w:rsid w:val="001F1D5C"/>
    <w:rsid w:val="001F64A8"/>
    <w:rsid w:val="001F73F5"/>
    <w:rsid w:val="00200924"/>
    <w:rsid w:val="00201541"/>
    <w:rsid w:val="00201BE0"/>
    <w:rsid w:val="00201C4B"/>
    <w:rsid w:val="00201FCB"/>
    <w:rsid w:val="00203C05"/>
    <w:rsid w:val="002040D0"/>
    <w:rsid w:val="0021027C"/>
    <w:rsid w:val="002130BE"/>
    <w:rsid w:val="0021344D"/>
    <w:rsid w:val="0021367C"/>
    <w:rsid w:val="002159D3"/>
    <w:rsid w:val="00215FCD"/>
    <w:rsid w:val="00216792"/>
    <w:rsid w:val="002168BE"/>
    <w:rsid w:val="002220A4"/>
    <w:rsid w:val="0022397A"/>
    <w:rsid w:val="00223E8E"/>
    <w:rsid w:val="0022566B"/>
    <w:rsid w:val="0023042E"/>
    <w:rsid w:val="00236060"/>
    <w:rsid w:val="00236596"/>
    <w:rsid w:val="00236773"/>
    <w:rsid w:val="002403E9"/>
    <w:rsid w:val="00240C10"/>
    <w:rsid w:val="002479C1"/>
    <w:rsid w:val="00251B0E"/>
    <w:rsid w:val="00253644"/>
    <w:rsid w:val="002547A1"/>
    <w:rsid w:val="00255F40"/>
    <w:rsid w:val="002657E6"/>
    <w:rsid w:val="00270AA5"/>
    <w:rsid w:val="00271522"/>
    <w:rsid w:val="0027174C"/>
    <w:rsid w:val="00271A27"/>
    <w:rsid w:val="00272F38"/>
    <w:rsid w:val="00273649"/>
    <w:rsid w:val="002755E9"/>
    <w:rsid w:val="002760CF"/>
    <w:rsid w:val="0027629C"/>
    <w:rsid w:val="002765F9"/>
    <w:rsid w:val="00276ACA"/>
    <w:rsid w:val="00276E04"/>
    <w:rsid w:val="00277D5C"/>
    <w:rsid w:val="00280690"/>
    <w:rsid w:val="002817CB"/>
    <w:rsid w:val="00282215"/>
    <w:rsid w:val="002837FA"/>
    <w:rsid w:val="00286195"/>
    <w:rsid w:val="00286D8E"/>
    <w:rsid w:val="00291B69"/>
    <w:rsid w:val="002940A5"/>
    <w:rsid w:val="00294844"/>
    <w:rsid w:val="00294CA2"/>
    <w:rsid w:val="002A115F"/>
    <w:rsid w:val="002A1A42"/>
    <w:rsid w:val="002A3141"/>
    <w:rsid w:val="002A3644"/>
    <w:rsid w:val="002B1753"/>
    <w:rsid w:val="002B2062"/>
    <w:rsid w:val="002B481B"/>
    <w:rsid w:val="002B7283"/>
    <w:rsid w:val="002C4985"/>
    <w:rsid w:val="002C7AC1"/>
    <w:rsid w:val="002D03B6"/>
    <w:rsid w:val="002D08B6"/>
    <w:rsid w:val="002D3D31"/>
    <w:rsid w:val="002D50F0"/>
    <w:rsid w:val="002E0195"/>
    <w:rsid w:val="002E0715"/>
    <w:rsid w:val="002E1368"/>
    <w:rsid w:val="002E2B02"/>
    <w:rsid w:val="002E2E1F"/>
    <w:rsid w:val="002E3F1D"/>
    <w:rsid w:val="002E6DBC"/>
    <w:rsid w:val="002F0413"/>
    <w:rsid w:val="002F4503"/>
    <w:rsid w:val="002F7215"/>
    <w:rsid w:val="002F7F5E"/>
    <w:rsid w:val="003000B1"/>
    <w:rsid w:val="003006EC"/>
    <w:rsid w:val="00300F16"/>
    <w:rsid w:val="00300FF7"/>
    <w:rsid w:val="003039B5"/>
    <w:rsid w:val="00303BCD"/>
    <w:rsid w:val="00306980"/>
    <w:rsid w:val="00306DFE"/>
    <w:rsid w:val="00307B0E"/>
    <w:rsid w:val="00310E89"/>
    <w:rsid w:val="0031197A"/>
    <w:rsid w:val="00315E0D"/>
    <w:rsid w:val="00316CB2"/>
    <w:rsid w:val="003204F5"/>
    <w:rsid w:val="00320FBD"/>
    <w:rsid w:val="00321559"/>
    <w:rsid w:val="00321D4D"/>
    <w:rsid w:val="003258AB"/>
    <w:rsid w:val="00325A72"/>
    <w:rsid w:val="0032629D"/>
    <w:rsid w:val="00330245"/>
    <w:rsid w:val="00331ACB"/>
    <w:rsid w:val="00332CCA"/>
    <w:rsid w:val="00333614"/>
    <w:rsid w:val="00333DE4"/>
    <w:rsid w:val="0033497A"/>
    <w:rsid w:val="00335E21"/>
    <w:rsid w:val="00340C5D"/>
    <w:rsid w:val="003418C3"/>
    <w:rsid w:val="00341A3C"/>
    <w:rsid w:val="00344474"/>
    <w:rsid w:val="003444DF"/>
    <w:rsid w:val="00350749"/>
    <w:rsid w:val="00352302"/>
    <w:rsid w:val="003558C0"/>
    <w:rsid w:val="003563A0"/>
    <w:rsid w:val="00357551"/>
    <w:rsid w:val="003579AF"/>
    <w:rsid w:val="00357B39"/>
    <w:rsid w:val="00367FA3"/>
    <w:rsid w:val="00370740"/>
    <w:rsid w:val="00373872"/>
    <w:rsid w:val="00373911"/>
    <w:rsid w:val="00373D61"/>
    <w:rsid w:val="00374F1C"/>
    <w:rsid w:val="00375F1D"/>
    <w:rsid w:val="003831AD"/>
    <w:rsid w:val="00385053"/>
    <w:rsid w:val="003873C6"/>
    <w:rsid w:val="0039328F"/>
    <w:rsid w:val="00393C35"/>
    <w:rsid w:val="00394D5A"/>
    <w:rsid w:val="003963D9"/>
    <w:rsid w:val="00396844"/>
    <w:rsid w:val="00396DD3"/>
    <w:rsid w:val="003A0D2F"/>
    <w:rsid w:val="003A3023"/>
    <w:rsid w:val="003A3AA2"/>
    <w:rsid w:val="003A5BC0"/>
    <w:rsid w:val="003A64D5"/>
    <w:rsid w:val="003A7564"/>
    <w:rsid w:val="003B0F29"/>
    <w:rsid w:val="003B28F0"/>
    <w:rsid w:val="003B2BE2"/>
    <w:rsid w:val="003B4332"/>
    <w:rsid w:val="003B490C"/>
    <w:rsid w:val="003B66DC"/>
    <w:rsid w:val="003B70A6"/>
    <w:rsid w:val="003B7561"/>
    <w:rsid w:val="003C1B82"/>
    <w:rsid w:val="003C689E"/>
    <w:rsid w:val="003D195C"/>
    <w:rsid w:val="003D23BE"/>
    <w:rsid w:val="003D52C3"/>
    <w:rsid w:val="003E0035"/>
    <w:rsid w:val="003E3CB1"/>
    <w:rsid w:val="003E584E"/>
    <w:rsid w:val="003E6AE5"/>
    <w:rsid w:val="003F05DE"/>
    <w:rsid w:val="003F0C8A"/>
    <w:rsid w:val="003F1860"/>
    <w:rsid w:val="003F1E9F"/>
    <w:rsid w:val="003F3CCA"/>
    <w:rsid w:val="003F3D2E"/>
    <w:rsid w:val="004013EB"/>
    <w:rsid w:val="00402F51"/>
    <w:rsid w:val="00403C2A"/>
    <w:rsid w:val="00404E0D"/>
    <w:rsid w:val="00406DDE"/>
    <w:rsid w:val="00406E49"/>
    <w:rsid w:val="00412098"/>
    <w:rsid w:val="00417186"/>
    <w:rsid w:val="00417C9E"/>
    <w:rsid w:val="004205AD"/>
    <w:rsid w:val="00420C7A"/>
    <w:rsid w:val="0042127E"/>
    <w:rsid w:val="0042231B"/>
    <w:rsid w:val="00424A13"/>
    <w:rsid w:val="004252A1"/>
    <w:rsid w:val="00425B24"/>
    <w:rsid w:val="00430F18"/>
    <w:rsid w:val="00432EAF"/>
    <w:rsid w:val="0043410B"/>
    <w:rsid w:val="0043551D"/>
    <w:rsid w:val="00435E99"/>
    <w:rsid w:val="0043755B"/>
    <w:rsid w:val="00441F0F"/>
    <w:rsid w:val="004443B5"/>
    <w:rsid w:val="004448B0"/>
    <w:rsid w:val="00447AFE"/>
    <w:rsid w:val="0045014E"/>
    <w:rsid w:val="0045174B"/>
    <w:rsid w:val="004565B9"/>
    <w:rsid w:val="00457736"/>
    <w:rsid w:val="00457FB8"/>
    <w:rsid w:val="004605F7"/>
    <w:rsid w:val="004606DF"/>
    <w:rsid w:val="0046074E"/>
    <w:rsid w:val="0046084F"/>
    <w:rsid w:val="00463126"/>
    <w:rsid w:val="00463973"/>
    <w:rsid w:val="00463DE6"/>
    <w:rsid w:val="004649B1"/>
    <w:rsid w:val="00465149"/>
    <w:rsid w:val="00465516"/>
    <w:rsid w:val="004662CD"/>
    <w:rsid w:val="004675B9"/>
    <w:rsid w:val="00467649"/>
    <w:rsid w:val="004722E8"/>
    <w:rsid w:val="00472412"/>
    <w:rsid w:val="00473498"/>
    <w:rsid w:val="00473D03"/>
    <w:rsid w:val="00473FEC"/>
    <w:rsid w:val="004752E2"/>
    <w:rsid w:val="00483B05"/>
    <w:rsid w:val="00484526"/>
    <w:rsid w:val="004854C6"/>
    <w:rsid w:val="00485FF6"/>
    <w:rsid w:val="00486595"/>
    <w:rsid w:val="004909F6"/>
    <w:rsid w:val="00490F7F"/>
    <w:rsid w:val="0049184F"/>
    <w:rsid w:val="004964C1"/>
    <w:rsid w:val="004A0E3D"/>
    <w:rsid w:val="004A3551"/>
    <w:rsid w:val="004A63C7"/>
    <w:rsid w:val="004A6F39"/>
    <w:rsid w:val="004B023B"/>
    <w:rsid w:val="004B0647"/>
    <w:rsid w:val="004B08A2"/>
    <w:rsid w:val="004B5E4E"/>
    <w:rsid w:val="004B5ECF"/>
    <w:rsid w:val="004B7993"/>
    <w:rsid w:val="004C109E"/>
    <w:rsid w:val="004C332F"/>
    <w:rsid w:val="004C3C96"/>
    <w:rsid w:val="004C401B"/>
    <w:rsid w:val="004C44C8"/>
    <w:rsid w:val="004D36CF"/>
    <w:rsid w:val="004D4ED4"/>
    <w:rsid w:val="004D52DB"/>
    <w:rsid w:val="004E5E3F"/>
    <w:rsid w:val="004E6696"/>
    <w:rsid w:val="004E7B26"/>
    <w:rsid w:val="004F2D69"/>
    <w:rsid w:val="004F338C"/>
    <w:rsid w:val="004F54F9"/>
    <w:rsid w:val="004F55DE"/>
    <w:rsid w:val="004F63F1"/>
    <w:rsid w:val="004F6B85"/>
    <w:rsid w:val="004F6C95"/>
    <w:rsid w:val="004F7204"/>
    <w:rsid w:val="004F7395"/>
    <w:rsid w:val="00500630"/>
    <w:rsid w:val="00500C22"/>
    <w:rsid w:val="005010CC"/>
    <w:rsid w:val="00503A92"/>
    <w:rsid w:val="00512064"/>
    <w:rsid w:val="005134A5"/>
    <w:rsid w:val="005134FF"/>
    <w:rsid w:val="005167F3"/>
    <w:rsid w:val="00517ED0"/>
    <w:rsid w:val="005200A2"/>
    <w:rsid w:val="0052214A"/>
    <w:rsid w:val="005245C8"/>
    <w:rsid w:val="00525F40"/>
    <w:rsid w:val="00530F37"/>
    <w:rsid w:val="005317D7"/>
    <w:rsid w:val="00532346"/>
    <w:rsid w:val="0053475D"/>
    <w:rsid w:val="005362E7"/>
    <w:rsid w:val="005427A2"/>
    <w:rsid w:val="00543A6B"/>
    <w:rsid w:val="00543B2B"/>
    <w:rsid w:val="005440AA"/>
    <w:rsid w:val="005442D9"/>
    <w:rsid w:val="00545E34"/>
    <w:rsid w:val="00546644"/>
    <w:rsid w:val="00550B74"/>
    <w:rsid w:val="005510B2"/>
    <w:rsid w:val="005538C7"/>
    <w:rsid w:val="00553E4B"/>
    <w:rsid w:val="00554C09"/>
    <w:rsid w:val="005564FA"/>
    <w:rsid w:val="005621CF"/>
    <w:rsid w:val="00563F7E"/>
    <w:rsid w:val="0056458D"/>
    <w:rsid w:val="00565661"/>
    <w:rsid w:val="005658DF"/>
    <w:rsid w:val="00565BB9"/>
    <w:rsid w:val="00566DD3"/>
    <w:rsid w:val="00572E97"/>
    <w:rsid w:val="00573211"/>
    <w:rsid w:val="00573A4C"/>
    <w:rsid w:val="005741E6"/>
    <w:rsid w:val="00580034"/>
    <w:rsid w:val="00583832"/>
    <w:rsid w:val="00583B31"/>
    <w:rsid w:val="00584A9C"/>
    <w:rsid w:val="00585E72"/>
    <w:rsid w:val="005901D2"/>
    <w:rsid w:val="005921D3"/>
    <w:rsid w:val="0059333C"/>
    <w:rsid w:val="00593661"/>
    <w:rsid w:val="00594FE1"/>
    <w:rsid w:val="005962D9"/>
    <w:rsid w:val="0059757E"/>
    <w:rsid w:val="005A00CF"/>
    <w:rsid w:val="005A0FAC"/>
    <w:rsid w:val="005A43F8"/>
    <w:rsid w:val="005A4678"/>
    <w:rsid w:val="005B03BD"/>
    <w:rsid w:val="005B63E1"/>
    <w:rsid w:val="005B752C"/>
    <w:rsid w:val="005B7CED"/>
    <w:rsid w:val="005B7E65"/>
    <w:rsid w:val="005C1730"/>
    <w:rsid w:val="005C243B"/>
    <w:rsid w:val="005C2DF4"/>
    <w:rsid w:val="005C4256"/>
    <w:rsid w:val="005C5CD0"/>
    <w:rsid w:val="005D03EF"/>
    <w:rsid w:val="005D1509"/>
    <w:rsid w:val="005D16C7"/>
    <w:rsid w:val="005D21D5"/>
    <w:rsid w:val="005D2B42"/>
    <w:rsid w:val="005D408F"/>
    <w:rsid w:val="005D5182"/>
    <w:rsid w:val="005D5DA8"/>
    <w:rsid w:val="005D67B5"/>
    <w:rsid w:val="005E26AD"/>
    <w:rsid w:val="005E34D6"/>
    <w:rsid w:val="005E50E8"/>
    <w:rsid w:val="005E5276"/>
    <w:rsid w:val="005E77D1"/>
    <w:rsid w:val="005E7EF6"/>
    <w:rsid w:val="005F1A8C"/>
    <w:rsid w:val="005F2A23"/>
    <w:rsid w:val="005F588F"/>
    <w:rsid w:val="005F680A"/>
    <w:rsid w:val="005F7C8E"/>
    <w:rsid w:val="006001BF"/>
    <w:rsid w:val="00600A19"/>
    <w:rsid w:val="00602ABA"/>
    <w:rsid w:val="00603E50"/>
    <w:rsid w:val="00605543"/>
    <w:rsid w:val="00605F8F"/>
    <w:rsid w:val="00607396"/>
    <w:rsid w:val="00612174"/>
    <w:rsid w:val="00612738"/>
    <w:rsid w:val="006139AE"/>
    <w:rsid w:val="00613F00"/>
    <w:rsid w:val="00616DE5"/>
    <w:rsid w:val="00620993"/>
    <w:rsid w:val="00620EBF"/>
    <w:rsid w:val="0062114F"/>
    <w:rsid w:val="00622E8B"/>
    <w:rsid w:val="006232E1"/>
    <w:rsid w:val="00623E92"/>
    <w:rsid w:val="006252BA"/>
    <w:rsid w:val="00625ECA"/>
    <w:rsid w:val="00630E1A"/>
    <w:rsid w:val="00632E88"/>
    <w:rsid w:val="00637A40"/>
    <w:rsid w:val="00641C17"/>
    <w:rsid w:val="00646BA3"/>
    <w:rsid w:val="006510BC"/>
    <w:rsid w:val="00651F4F"/>
    <w:rsid w:val="00652966"/>
    <w:rsid w:val="00652ABA"/>
    <w:rsid w:val="00655443"/>
    <w:rsid w:val="006572C5"/>
    <w:rsid w:val="006603D4"/>
    <w:rsid w:val="0066183F"/>
    <w:rsid w:val="00663369"/>
    <w:rsid w:val="00665874"/>
    <w:rsid w:val="00672FAA"/>
    <w:rsid w:val="00673C9E"/>
    <w:rsid w:val="00674E6D"/>
    <w:rsid w:val="00676DE6"/>
    <w:rsid w:val="00677610"/>
    <w:rsid w:val="006777A5"/>
    <w:rsid w:val="00682024"/>
    <w:rsid w:val="0068222B"/>
    <w:rsid w:val="0068596E"/>
    <w:rsid w:val="00685FF9"/>
    <w:rsid w:val="0068671A"/>
    <w:rsid w:val="006868A7"/>
    <w:rsid w:val="00687295"/>
    <w:rsid w:val="006877AA"/>
    <w:rsid w:val="00687A37"/>
    <w:rsid w:val="00692AC7"/>
    <w:rsid w:val="00697806"/>
    <w:rsid w:val="00697D85"/>
    <w:rsid w:val="006A0D4E"/>
    <w:rsid w:val="006A191C"/>
    <w:rsid w:val="006A1A42"/>
    <w:rsid w:val="006A3F29"/>
    <w:rsid w:val="006A43D3"/>
    <w:rsid w:val="006A5C30"/>
    <w:rsid w:val="006B1636"/>
    <w:rsid w:val="006B1B26"/>
    <w:rsid w:val="006B3335"/>
    <w:rsid w:val="006B5D18"/>
    <w:rsid w:val="006B7271"/>
    <w:rsid w:val="006B7D3A"/>
    <w:rsid w:val="006B7D72"/>
    <w:rsid w:val="006C084A"/>
    <w:rsid w:val="006C0FA1"/>
    <w:rsid w:val="006C1391"/>
    <w:rsid w:val="006C1A35"/>
    <w:rsid w:val="006C2241"/>
    <w:rsid w:val="006C26EA"/>
    <w:rsid w:val="006C4B7C"/>
    <w:rsid w:val="006C5B57"/>
    <w:rsid w:val="006C6FA8"/>
    <w:rsid w:val="006D04A5"/>
    <w:rsid w:val="006D69E8"/>
    <w:rsid w:val="006D7D9C"/>
    <w:rsid w:val="006E07B7"/>
    <w:rsid w:val="006E0DCF"/>
    <w:rsid w:val="006E13AC"/>
    <w:rsid w:val="006E1D98"/>
    <w:rsid w:val="006E25F1"/>
    <w:rsid w:val="006E5FCF"/>
    <w:rsid w:val="006E6119"/>
    <w:rsid w:val="006F3DE2"/>
    <w:rsid w:val="006F5268"/>
    <w:rsid w:val="006F552E"/>
    <w:rsid w:val="0070126E"/>
    <w:rsid w:val="00702D8F"/>
    <w:rsid w:val="00705062"/>
    <w:rsid w:val="0070687B"/>
    <w:rsid w:val="00710B2C"/>
    <w:rsid w:val="0071121E"/>
    <w:rsid w:val="00715985"/>
    <w:rsid w:val="00715B35"/>
    <w:rsid w:val="00716110"/>
    <w:rsid w:val="007202C7"/>
    <w:rsid w:val="00720FBD"/>
    <w:rsid w:val="007215B8"/>
    <w:rsid w:val="007223B0"/>
    <w:rsid w:val="007276BA"/>
    <w:rsid w:val="0073023F"/>
    <w:rsid w:val="00730446"/>
    <w:rsid w:val="007317BB"/>
    <w:rsid w:val="007324F1"/>
    <w:rsid w:val="0073579A"/>
    <w:rsid w:val="00740993"/>
    <w:rsid w:val="00741298"/>
    <w:rsid w:val="00741A89"/>
    <w:rsid w:val="007424A2"/>
    <w:rsid w:val="00743166"/>
    <w:rsid w:val="00743190"/>
    <w:rsid w:val="0074488A"/>
    <w:rsid w:val="00745BF3"/>
    <w:rsid w:val="00746475"/>
    <w:rsid w:val="007479E1"/>
    <w:rsid w:val="0075297A"/>
    <w:rsid w:val="00752D5D"/>
    <w:rsid w:val="007556C6"/>
    <w:rsid w:val="007561C9"/>
    <w:rsid w:val="00756B7A"/>
    <w:rsid w:val="00757637"/>
    <w:rsid w:val="00760FE1"/>
    <w:rsid w:val="007645D0"/>
    <w:rsid w:val="0076639A"/>
    <w:rsid w:val="00766A2D"/>
    <w:rsid w:val="007703EA"/>
    <w:rsid w:val="00770C4B"/>
    <w:rsid w:val="00772290"/>
    <w:rsid w:val="007728E5"/>
    <w:rsid w:val="00781A9D"/>
    <w:rsid w:val="00782AAB"/>
    <w:rsid w:val="0079306D"/>
    <w:rsid w:val="0079339A"/>
    <w:rsid w:val="00794A7D"/>
    <w:rsid w:val="00795BD6"/>
    <w:rsid w:val="00797D7A"/>
    <w:rsid w:val="007A2742"/>
    <w:rsid w:val="007A33BC"/>
    <w:rsid w:val="007A347C"/>
    <w:rsid w:val="007A3676"/>
    <w:rsid w:val="007A3D6E"/>
    <w:rsid w:val="007A4AB2"/>
    <w:rsid w:val="007A4AFE"/>
    <w:rsid w:val="007A554E"/>
    <w:rsid w:val="007A59D4"/>
    <w:rsid w:val="007A6865"/>
    <w:rsid w:val="007A6FA3"/>
    <w:rsid w:val="007A7411"/>
    <w:rsid w:val="007B0C71"/>
    <w:rsid w:val="007B0C7F"/>
    <w:rsid w:val="007B1D76"/>
    <w:rsid w:val="007B7441"/>
    <w:rsid w:val="007B7AD9"/>
    <w:rsid w:val="007B7F0D"/>
    <w:rsid w:val="007C2ED8"/>
    <w:rsid w:val="007C4124"/>
    <w:rsid w:val="007C56A8"/>
    <w:rsid w:val="007C5B8C"/>
    <w:rsid w:val="007D1B4D"/>
    <w:rsid w:val="007D2339"/>
    <w:rsid w:val="007D2BFC"/>
    <w:rsid w:val="007D37EC"/>
    <w:rsid w:val="007D43C9"/>
    <w:rsid w:val="007D4BDD"/>
    <w:rsid w:val="007D53C0"/>
    <w:rsid w:val="007D70E9"/>
    <w:rsid w:val="007D7B16"/>
    <w:rsid w:val="007D7EB1"/>
    <w:rsid w:val="007E4E23"/>
    <w:rsid w:val="007E5DCC"/>
    <w:rsid w:val="007E7DE3"/>
    <w:rsid w:val="007F3657"/>
    <w:rsid w:val="007F367B"/>
    <w:rsid w:val="007F4379"/>
    <w:rsid w:val="007F4EBD"/>
    <w:rsid w:val="007F621E"/>
    <w:rsid w:val="0080151E"/>
    <w:rsid w:val="008021C9"/>
    <w:rsid w:val="00807029"/>
    <w:rsid w:val="008075A3"/>
    <w:rsid w:val="00810BB9"/>
    <w:rsid w:val="00810F3E"/>
    <w:rsid w:val="0081134A"/>
    <w:rsid w:val="0081134D"/>
    <w:rsid w:val="008154AF"/>
    <w:rsid w:val="0081698C"/>
    <w:rsid w:val="00820FD7"/>
    <w:rsid w:val="00822819"/>
    <w:rsid w:val="0082296A"/>
    <w:rsid w:val="00823A36"/>
    <w:rsid w:val="008248C1"/>
    <w:rsid w:val="00826B25"/>
    <w:rsid w:val="00827E8C"/>
    <w:rsid w:val="00831E29"/>
    <w:rsid w:val="00833CC0"/>
    <w:rsid w:val="008371B0"/>
    <w:rsid w:val="00845A7E"/>
    <w:rsid w:val="00847826"/>
    <w:rsid w:val="00850CD7"/>
    <w:rsid w:val="00851D9D"/>
    <w:rsid w:val="00852B54"/>
    <w:rsid w:val="00853AAC"/>
    <w:rsid w:val="00855C5D"/>
    <w:rsid w:val="008648A6"/>
    <w:rsid w:val="00864A20"/>
    <w:rsid w:val="00865F26"/>
    <w:rsid w:val="00866240"/>
    <w:rsid w:val="008679D7"/>
    <w:rsid w:val="0087113C"/>
    <w:rsid w:val="00871144"/>
    <w:rsid w:val="00873586"/>
    <w:rsid w:val="00874EEE"/>
    <w:rsid w:val="00876308"/>
    <w:rsid w:val="00876741"/>
    <w:rsid w:val="00880075"/>
    <w:rsid w:val="00880F5A"/>
    <w:rsid w:val="00882D23"/>
    <w:rsid w:val="00883903"/>
    <w:rsid w:val="008848A6"/>
    <w:rsid w:val="008856CC"/>
    <w:rsid w:val="00885A58"/>
    <w:rsid w:val="008875B8"/>
    <w:rsid w:val="00887F8C"/>
    <w:rsid w:val="00891E9E"/>
    <w:rsid w:val="00892236"/>
    <w:rsid w:val="008922DD"/>
    <w:rsid w:val="008925BD"/>
    <w:rsid w:val="0089736C"/>
    <w:rsid w:val="00897717"/>
    <w:rsid w:val="00897F5A"/>
    <w:rsid w:val="008A13DE"/>
    <w:rsid w:val="008A30CC"/>
    <w:rsid w:val="008A3CE5"/>
    <w:rsid w:val="008A408D"/>
    <w:rsid w:val="008A5EA7"/>
    <w:rsid w:val="008A7A8F"/>
    <w:rsid w:val="008A7FCA"/>
    <w:rsid w:val="008B2275"/>
    <w:rsid w:val="008B393D"/>
    <w:rsid w:val="008B3B80"/>
    <w:rsid w:val="008B4570"/>
    <w:rsid w:val="008B78C4"/>
    <w:rsid w:val="008C21D7"/>
    <w:rsid w:val="008C2C5A"/>
    <w:rsid w:val="008C4638"/>
    <w:rsid w:val="008C4714"/>
    <w:rsid w:val="008D0F25"/>
    <w:rsid w:val="008D1262"/>
    <w:rsid w:val="008D17FE"/>
    <w:rsid w:val="008D2A8B"/>
    <w:rsid w:val="008D2CF7"/>
    <w:rsid w:val="008D4603"/>
    <w:rsid w:val="008D46AE"/>
    <w:rsid w:val="008D5AA0"/>
    <w:rsid w:val="008D7CCE"/>
    <w:rsid w:val="008E1113"/>
    <w:rsid w:val="008E199D"/>
    <w:rsid w:val="008E36BC"/>
    <w:rsid w:val="008E5187"/>
    <w:rsid w:val="008F0004"/>
    <w:rsid w:val="008F0D6C"/>
    <w:rsid w:val="008F1748"/>
    <w:rsid w:val="008F200A"/>
    <w:rsid w:val="008F5B33"/>
    <w:rsid w:val="008F6862"/>
    <w:rsid w:val="008F73F7"/>
    <w:rsid w:val="008F74DE"/>
    <w:rsid w:val="00902AFA"/>
    <w:rsid w:val="00902D51"/>
    <w:rsid w:val="00903D68"/>
    <w:rsid w:val="00904A72"/>
    <w:rsid w:val="00904FCC"/>
    <w:rsid w:val="00905836"/>
    <w:rsid w:val="00910EDC"/>
    <w:rsid w:val="00911862"/>
    <w:rsid w:val="0091326C"/>
    <w:rsid w:val="0091475B"/>
    <w:rsid w:val="009159F9"/>
    <w:rsid w:val="00920050"/>
    <w:rsid w:val="009200BF"/>
    <w:rsid w:val="009218A4"/>
    <w:rsid w:val="00922016"/>
    <w:rsid w:val="00925505"/>
    <w:rsid w:val="00926016"/>
    <w:rsid w:val="00926768"/>
    <w:rsid w:val="00927827"/>
    <w:rsid w:val="00927E0F"/>
    <w:rsid w:val="00932391"/>
    <w:rsid w:val="00934347"/>
    <w:rsid w:val="009354C4"/>
    <w:rsid w:val="00936722"/>
    <w:rsid w:val="0093701A"/>
    <w:rsid w:val="00940792"/>
    <w:rsid w:val="009436B2"/>
    <w:rsid w:val="00944AF2"/>
    <w:rsid w:val="00947EB4"/>
    <w:rsid w:val="00951476"/>
    <w:rsid w:val="00952002"/>
    <w:rsid w:val="0095408E"/>
    <w:rsid w:val="0095608F"/>
    <w:rsid w:val="009574CE"/>
    <w:rsid w:val="0095773D"/>
    <w:rsid w:val="00961E2C"/>
    <w:rsid w:val="009621F3"/>
    <w:rsid w:val="0096397B"/>
    <w:rsid w:val="00964E68"/>
    <w:rsid w:val="0096788A"/>
    <w:rsid w:val="0097480D"/>
    <w:rsid w:val="009762E7"/>
    <w:rsid w:val="00976799"/>
    <w:rsid w:val="009770F5"/>
    <w:rsid w:val="00980B22"/>
    <w:rsid w:val="00981098"/>
    <w:rsid w:val="009810FD"/>
    <w:rsid w:val="009814BC"/>
    <w:rsid w:val="009815A4"/>
    <w:rsid w:val="00981EDA"/>
    <w:rsid w:val="00982877"/>
    <w:rsid w:val="00985604"/>
    <w:rsid w:val="0098652B"/>
    <w:rsid w:val="00991A9C"/>
    <w:rsid w:val="00994F98"/>
    <w:rsid w:val="009A05A2"/>
    <w:rsid w:val="009A4042"/>
    <w:rsid w:val="009A4602"/>
    <w:rsid w:val="009B2AC4"/>
    <w:rsid w:val="009B55B0"/>
    <w:rsid w:val="009B74F6"/>
    <w:rsid w:val="009C215C"/>
    <w:rsid w:val="009C277D"/>
    <w:rsid w:val="009C3E58"/>
    <w:rsid w:val="009C586A"/>
    <w:rsid w:val="009C59D3"/>
    <w:rsid w:val="009C7636"/>
    <w:rsid w:val="009C7A30"/>
    <w:rsid w:val="009D133A"/>
    <w:rsid w:val="009D2292"/>
    <w:rsid w:val="009D3FC2"/>
    <w:rsid w:val="009D42E2"/>
    <w:rsid w:val="009D559E"/>
    <w:rsid w:val="009D7F17"/>
    <w:rsid w:val="009E0507"/>
    <w:rsid w:val="009E2AF9"/>
    <w:rsid w:val="009E3A1B"/>
    <w:rsid w:val="009E3C06"/>
    <w:rsid w:val="009E4484"/>
    <w:rsid w:val="009E5A95"/>
    <w:rsid w:val="009E6000"/>
    <w:rsid w:val="009E66C5"/>
    <w:rsid w:val="009F1997"/>
    <w:rsid w:val="009F2941"/>
    <w:rsid w:val="009F457C"/>
    <w:rsid w:val="009F5AC8"/>
    <w:rsid w:val="009F7174"/>
    <w:rsid w:val="00A00742"/>
    <w:rsid w:val="00A00771"/>
    <w:rsid w:val="00A01B94"/>
    <w:rsid w:val="00A01C82"/>
    <w:rsid w:val="00A03718"/>
    <w:rsid w:val="00A05E2D"/>
    <w:rsid w:val="00A06D7D"/>
    <w:rsid w:val="00A10A27"/>
    <w:rsid w:val="00A11914"/>
    <w:rsid w:val="00A12B55"/>
    <w:rsid w:val="00A13177"/>
    <w:rsid w:val="00A1333A"/>
    <w:rsid w:val="00A16088"/>
    <w:rsid w:val="00A16683"/>
    <w:rsid w:val="00A1755E"/>
    <w:rsid w:val="00A17C51"/>
    <w:rsid w:val="00A20019"/>
    <w:rsid w:val="00A22FA5"/>
    <w:rsid w:val="00A23A1D"/>
    <w:rsid w:val="00A2432D"/>
    <w:rsid w:val="00A25FEB"/>
    <w:rsid w:val="00A2608A"/>
    <w:rsid w:val="00A33696"/>
    <w:rsid w:val="00A3407D"/>
    <w:rsid w:val="00A34B9B"/>
    <w:rsid w:val="00A35191"/>
    <w:rsid w:val="00A3576B"/>
    <w:rsid w:val="00A3656C"/>
    <w:rsid w:val="00A36723"/>
    <w:rsid w:val="00A410D9"/>
    <w:rsid w:val="00A41A00"/>
    <w:rsid w:val="00A427E0"/>
    <w:rsid w:val="00A44CD7"/>
    <w:rsid w:val="00A47F1C"/>
    <w:rsid w:val="00A500A5"/>
    <w:rsid w:val="00A50A07"/>
    <w:rsid w:val="00A51BF3"/>
    <w:rsid w:val="00A51F29"/>
    <w:rsid w:val="00A53444"/>
    <w:rsid w:val="00A5517E"/>
    <w:rsid w:val="00A55CF3"/>
    <w:rsid w:val="00A60790"/>
    <w:rsid w:val="00A608D5"/>
    <w:rsid w:val="00A611D9"/>
    <w:rsid w:val="00A62644"/>
    <w:rsid w:val="00A64F2F"/>
    <w:rsid w:val="00A65AF0"/>
    <w:rsid w:val="00A80063"/>
    <w:rsid w:val="00A84C77"/>
    <w:rsid w:val="00A854C5"/>
    <w:rsid w:val="00A90A56"/>
    <w:rsid w:val="00A9128F"/>
    <w:rsid w:val="00A92309"/>
    <w:rsid w:val="00A92923"/>
    <w:rsid w:val="00A92B0A"/>
    <w:rsid w:val="00A92BA8"/>
    <w:rsid w:val="00A9342E"/>
    <w:rsid w:val="00A96502"/>
    <w:rsid w:val="00A96E7F"/>
    <w:rsid w:val="00A97475"/>
    <w:rsid w:val="00AA39A9"/>
    <w:rsid w:val="00AA43E9"/>
    <w:rsid w:val="00AA648B"/>
    <w:rsid w:val="00AB1491"/>
    <w:rsid w:val="00AB1521"/>
    <w:rsid w:val="00AB220A"/>
    <w:rsid w:val="00AB4743"/>
    <w:rsid w:val="00AB5753"/>
    <w:rsid w:val="00AB70A9"/>
    <w:rsid w:val="00AB757E"/>
    <w:rsid w:val="00AC459C"/>
    <w:rsid w:val="00AC4843"/>
    <w:rsid w:val="00AC4F4F"/>
    <w:rsid w:val="00AC4FC9"/>
    <w:rsid w:val="00AC7024"/>
    <w:rsid w:val="00AD31DB"/>
    <w:rsid w:val="00AD4DFC"/>
    <w:rsid w:val="00AD59C0"/>
    <w:rsid w:val="00AD6328"/>
    <w:rsid w:val="00AD696E"/>
    <w:rsid w:val="00AD74EA"/>
    <w:rsid w:val="00AE02F7"/>
    <w:rsid w:val="00AE0854"/>
    <w:rsid w:val="00AE13A7"/>
    <w:rsid w:val="00AE17E9"/>
    <w:rsid w:val="00AE1D62"/>
    <w:rsid w:val="00AE2675"/>
    <w:rsid w:val="00AE4AAD"/>
    <w:rsid w:val="00AE5034"/>
    <w:rsid w:val="00AE50D0"/>
    <w:rsid w:val="00AE6193"/>
    <w:rsid w:val="00AE7944"/>
    <w:rsid w:val="00AF0098"/>
    <w:rsid w:val="00AF4542"/>
    <w:rsid w:val="00AF47F0"/>
    <w:rsid w:val="00AF54EB"/>
    <w:rsid w:val="00AF5AA4"/>
    <w:rsid w:val="00AF71A0"/>
    <w:rsid w:val="00AF72C4"/>
    <w:rsid w:val="00AF7CC4"/>
    <w:rsid w:val="00B00490"/>
    <w:rsid w:val="00B0135C"/>
    <w:rsid w:val="00B02ABB"/>
    <w:rsid w:val="00B11373"/>
    <w:rsid w:val="00B120E7"/>
    <w:rsid w:val="00B14555"/>
    <w:rsid w:val="00B14973"/>
    <w:rsid w:val="00B156A6"/>
    <w:rsid w:val="00B15927"/>
    <w:rsid w:val="00B1773A"/>
    <w:rsid w:val="00B240B1"/>
    <w:rsid w:val="00B26012"/>
    <w:rsid w:val="00B2605C"/>
    <w:rsid w:val="00B26737"/>
    <w:rsid w:val="00B26855"/>
    <w:rsid w:val="00B3298E"/>
    <w:rsid w:val="00B3338D"/>
    <w:rsid w:val="00B334B6"/>
    <w:rsid w:val="00B35C59"/>
    <w:rsid w:val="00B362DB"/>
    <w:rsid w:val="00B36DE9"/>
    <w:rsid w:val="00B3740F"/>
    <w:rsid w:val="00B37ACA"/>
    <w:rsid w:val="00B46481"/>
    <w:rsid w:val="00B4778C"/>
    <w:rsid w:val="00B47CE9"/>
    <w:rsid w:val="00B5455F"/>
    <w:rsid w:val="00B55567"/>
    <w:rsid w:val="00B57275"/>
    <w:rsid w:val="00B57A7A"/>
    <w:rsid w:val="00B57A8F"/>
    <w:rsid w:val="00B617A7"/>
    <w:rsid w:val="00B63170"/>
    <w:rsid w:val="00B65AC8"/>
    <w:rsid w:val="00B66F6B"/>
    <w:rsid w:val="00B70130"/>
    <w:rsid w:val="00B7156B"/>
    <w:rsid w:val="00B75BA4"/>
    <w:rsid w:val="00B764E5"/>
    <w:rsid w:val="00B80BAD"/>
    <w:rsid w:val="00B817C1"/>
    <w:rsid w:val="00B84F20"/>
    <w:rsid w:val="00B85ECA"/>
    <w:rsid w:val="00B86490"/>
    <w:rsid w:val="00B86C52"/>
    <w:rsid w:val="00B86F8F"/>
    <w:rsid w:val="00B9289E"/>
    <w:rsid w:val="00BA072D"/>
    <w:rsid w:val="00BA203C"/>
    <w:rsid w:val="00BA7555"/>
    <w:rsid w:val="00BB1949"/>
    <w:rsid w:val="00BB19C4"/>
    <w:rsid w:val="00BB1E0B"/>
    <w:rsid w:val="00BB27FA"/>
    <w:rsid w:val="00BC1014"/>
    <w:rsid w:val="00BC43D3"/>
    <w:rsid w:val="00BC4D9A"/>
    <w:rsid w:val="00BC615C"/>
    <w:rsid w:val="00BC6A0D"/>
    <w:rsid w:val="00BC75A4"/>
    <w:rsid w:val="00BD09A7"/>
    <w:rsid w:val="00BD12DD"/>
    <w:rsid w:val="00BD4C4C"/>
    <w:rsid w:val="00BD7649"/>
    <w:rsid w:val="00BE04E6"/>
    <w:rsid w:val="00BE3CEC"/>
    <w:rsid w:val="00BE5C54"/>
    <w:rsid w:val="00BE60FF"/>
    <w:rsid w:val="00BE6258"/>
    <w:rsid w:val="00BE7E07"/>
    <w:rsid w:val="00BF00B9"/>
    <w:rsid w:val="00BF249C"/>
    <w:rsid w:val="00BF536D"/>
    <w:rsid w:val="00BF5401"/>
    <w:rsid w:val="00BF5783"/>
    <w:rsid w:val="00C00A47"/>
    <w:rsid w:val="00C023AD"/>
    <w:rsid w:val="00C03E2D"/>
    <w:rsid w:val="00C05E0C"/>
    <w:rsid w:val="00C07D98"/>
    <w:rsid w:val="00C108CC"/>
    <w:rsid w:val="00C1162C"/>
    <w:rsid w:val="00C12A51"/>
    <w:rsid w:val="00C17C60"/>
    <w:rsid w:val="00C200D8"/>
    <w:rsid w:val="00C252EF"/>
    <w:rsid w:val="00C26189"/>
    <w:rsid w:val="00C26B53"/>
    <w:rsid w:val="00C275C4"/>
    <w:rsid w:val="00C31734"/>
    <w:rsid w:val="00C31AF3"/>
    <w:rsid w:val="00C32B5D"/>
    <w:rsid w:val="00C34594"/>
    <w:rsid w:val="00C34D9D"/>
    <w:rsid w:val="00C40306"/>
    <w:rsid w:val="00C410EB"/>
    <w:rsid w:val="00C42241"/>
    <w:rsid w:val="00C426C8"/>
    <w:rsid w:val="00C42D85"/>
    <w:rsid w:val="00C42E60"/>
    <w:rsid w:val="00C432E9"/>
    <w:rsid w:val="00C43A16"/>
    <w:rsid w:val="00C45841"/>
    <w:rsid w:val="00C45AE3"/>
    <w:rsid w:val="00C46544"/>
    <w:rsid w:val="00C5048E"/>
    <w:rsid w:val="00C5323E"/>
    <w:rsid w:val="00C53536"/>
    <w:rsid w:val="00C536B9"/>
    <w:rsid w:val="00C564EE"/>
    <w:rsid w:val="00C576B0"/>
    <w:rsid w:val="00C67167"/>
    <w:rsid w:val="00C671BB"/>
    <w:rsid w:val="00C71552"/>
    <w:rsid w:val="00C73D5D"/>
    <w:rsid w:val="00C8131A"/>
    <w:rsid w:val="00C81A83"/>
    <w:rsid w:val="00C831B9"/>
    <w:rsid w:val="00C834A0"/>
    <w:rsid w:val="00C84926"/>
    <w:rsid w:val="00C92812"/>
    <w:rsid w:val="00C92E11"/>
    <w:rsid w:val="00C952C8"/>
    <w:rsid w:val="00C96626"/>
    <w:rsid w:val="00CA0172"/>
    <w:rsid w:val="00CA056C"/>
    <w:rsid w:val="00CA1EF5"/>
    <w:rsid w:val="00CA21C7"/>
    <w:rsid w:val="00CA2BD3"/>
    <w:rsid w:val="00CA7303"/>
    <w:rsid w:val="00CB2B7F"/>
    <w:rsid w:val="00CB4816"/>
    <w:rsid w:val="00CC088B"/>
    <w:rsid w:val="00CC0DD2"/>
    <w:rsid w:val="00CC0EC4"/>
    <w:rsid w:val="00CC425D"/>
    <w:rsid w:val="00CC4661"/>
    <w:rsid w:val="00CC6B02"/>
    <w:rsid w:val="00CD07C5"/>
    <w:rsid w:val="00CD47B6"/>
    <w:rsid w:val="00CD51D2"/>
    <w:rsid w:val="00CD575E"/>
    <w:rsid w:val="00CD6C40"/>
    <w:rsid w:val="00CD6E9E"/>
    <w:rsid w:val="00CD7685"/>
    <w:rsid w:val="00CE07ED"/>
    <w:rsid w:val="00CE2834"/>
    <w:rsid w:val="00CE5808"/>
    <w:rsid w:val="00CF3FF2"/>
    <w:rsid w:val="00CF441B"/>
    <w:rsid w:val="00CF6132"/>
    <w:rsid w:val="00CF634F"/>
    <w:rsid w:val="00CF74F5"/>
    <w:rsid w:val="00D02073"/>
    <w:rsid w:val="00D0237B"/>
    <w:rsid w:val="00D042AA"/>
    <w:rsid w:val="00D04F11"/>
    <w:rsid w:val="00D05214"/>
    <w:rsid w:val="00D07D1A"/>
    <w:rsid w:val="00D103AA"/>
    <w:rsid w:val="00D11115"/>
    <w:rsid w:val="00D12E6B"/>
    <w:rsid w:val="00D15063"/>
    <w:rsid w:val="00D15306"/>
    <w:rsid w:val="00D15408"/>
    <w:rsid w:val="00D15BAE"/>
    <w:rsid w:val="00D168AC"/>
    <w:rsid w:val="00D1742F"/>
    <w:rsid w:val="00D17F44"/>
    <w:rsid w:val="00D204FF"/>
    <w:rsid w:val="00D25FF6"/>
    <w:rsid w:val="00D33A92"/>
    <w:rsid w:val="00D35446"/>
    <w:rsid w:val="00D40346"/>
    <w:rsid w:val="00D42DDE"/>
    <w:rsid w:val="00D45347"/>
    <w:rsid w:val="00D45598"/>
    <w:rsid w:val="00D45B67"/>
    <w:rsid w:val="00D46D7F"/>
    <w:rsid w:val="00D51C13"/>
    <w:rsid w:val="00D532F8"/>
    <w:rsid w:val="00D538E4"/>
    <w:rsid w:val="00D53998"/>
    <w:rsid w:val="00D5447D"/>
    <w:rsid w:val="00D5476D"/>
    <w:rsid w:val="00D54945"/>
    <w:rsid w:val="00D5664D"/>
    <w:rsid w:val="00D56A51"/>
    <w:rsid w:val="00D614F7"/>
    <w:rsid w:val="00D61B7D"/>
    <w:rsid w:val="00D61F59"/>
    <w:rsid w:val="00D623A1"/>
    <w:rsid w:val="00D65D9B"/>
    <w:rsid w:val="00D678A8"/>
    <w:rsid w:val="00D73638"/>
    <w:rsid w:val="00D76BA5"/>
    <w:rsid w:val="00D80B69"/>
    <w:rsid w:val="00D81555"/>
    <w:rsid w:val="00D827C1"/>
    <w:rsid w:val="00D845CD"/>
    <w:rsid w:val="00D859BF"/>
    <w:rsid w:val="00D86152"/>
    <w:rsid w:val="00D866C3"/>
    <w:rsid w:val="00D8690C"/>
    <w:rsid w:val="00D90B56"/>
    <w:rsid w:val="00D90CE4"/>
    <w:rsid w:val="00D93023"/>
    <w:rsid w:val="00D93E2F"/>
    <w:rsid w:val="00D94069"/>
    <w:rsid w:val="00D96126"/>
    <w:rsid w:val="00D96FCE"/>
    <w:rsid w:val="00DA0F8C"/>
    <w:rsid w:val="00DA3E5E"/>
    <w:rsid w:val="00DA52DA"/>
    <w:rsid w:val="00DA531C"/>
    <w:rsid w:val="00DA718E"/>
    <w:rsid w:val="00DA71E1"/>
    <w:rsid w:val="00DB2101"/>
    <w:rsid w:val="00DB2686"/>
    <w:rsid w:val="00DB3EFE"/>
    <w:rsid w:val="00DB4E46"/>
    <w:rsid w:val="00DB550E"/>
    <w:rsid w:val="00DB6C29"/>
    <w:rsid w:val="00DC132C"/>
    <w:rsid w:val="00DC34D9"/>
    <w:rsid w:val="00DC35B8"/>
    <w:rsid w:val="00DC5D45"/>
    <w:rsid w:val="00DC5DF8"/>
    <w:rsid w:val="00DC693C"/>
    <w:rsid w:val="00DD253B"/>
    <w:rsid w:val="00DD28C4"/>
    <w:rsid w:val="00DD649B"/>
    <w:rsid w:val="00DD68AC"/>
    <w:rsid w:val="00DE086E"/>
    <w:rsid w:val="00DE3CFE"/>
    <w:rsid w:val="00DE5421"/>
    <w:rsid w:val="00DE6E3B"/>
    <w:rsid w:val="00DE7667"/>
    <w:rsid w:val="00DF2DC9"/>
    <w:rsid w:val="00DF724E"/>
    <w:rsid w:val="00DF737E"/>
    <w:rsid w:val="00E00E2B"/>
    <w:rsid w:val="00E03B07"/>
    <w:rsid w:val="00E067C1"/>
    <w:rsid w:val="00E10B41"/>
    <w:rsid w:val="00E10B8C"/>
    <w:rsid w:val="00E17556"/>
    <w:rsid w:val="00E21007"/>
    <w:rsid w:val="00E21DE1"/>
    <w:rsid w:val="00E23D21"/>
    <w:rsid w:val="00E23FE4"/>
    <w:rsid w:val="00E24467"/>
    <w:rsid w:val="00E249BF"/>
    <w:rsid w:val="00E2607A"/>
    <w:rsid w:val="00E268D6"/>
    <w:rsid w:val="00E3081A"/>
    <w:rsid w:val="00E349AA"/>
    <w:rsid w:val="00E358C1"/>
    <w:rsid w:val="00E370D2"/>
    <w:rsid w:val="00E37517"/>
    <w:rsid w:val="00E428F5"/>
    <w:rsid w:val="00E43C8D"/>
    <w:rsid w:val="00E451B1"/>
    <w:rsid w:val="00E45429"/>
    <w:rsid w:val="00E46371"/>
    <w:rsid w:val="00E463FC"/>
    <w:rsid w:val="00E50C63"/>
    <w:rsid w:val="00E50CFF"/>
    <w:rsid w:val="00E51F1C"/>
    <w:rsid w:val="00E525C9"/>
    <w:rsid w:val="00E54B0C"/>
    <w:rsid w:val="00E550CF"/>
    <w:rsid w:val="00E5623C"/>
    <w:rsid w:val="00E568C4"/>
    <w:rsid w:val="00E56FCC"/>
    <w:rsid w:val="00E573B5"/>
    <w:rsid w:val="00E577C6"/>
    <w:rsid w:val="00E60F5B"/>
    <w:rsid w:val="00E65D3A"/>
    <w:rsid w:val="00E70AE4"/>
    <w:rsid w:val="00E70D98"/>
    <w:rsid w:val="00E75252"/>
    <w:rsid w:val="00E75346"/>
    <w:rsid w:val="00E75D5B"/>
    <w:rsid w:val="00E77480"/>
    <w:rsid w:val="00E80C35"/>
    <w:rsid w:val="00E827B5"/>
    <w:rsid w:val="00E83459"/>
    <w:rsid w:val="00E834DA"/>
    <w:rsid w:val="00E83EAD"/>
    <w:rsid w:val="00E842DC"/>
    <w:rsid w:val="00E84642"/>
    <w:rsid w:val="00E872FE"/>
    <w:rsid w:val="00E90020"/>
    <w:rsid w:val="00E90B2C"/>
    <w:rsid w:val="00E91288"/>
    <w:rsid w:val="00E936BD"/>
    <w:rsid w:val="00E9638A"/>
    <w:rsid w:val="00E978EB"/>
    <w:rsid w:val="00EA29F7"/>
    <w:rsid w:val="00EA4AC6"/>
    <w:rsid w:val="00EA54B4"/>
    <w:rsid w:val="00EA5DF3"/>
    <w:rsid w:val="00EB0CF9"/>
    <w:rsid w:val="00EB11EE"/>
    <w:rsid w:val="00EB2718"/>
    <w:rsid w:val="00EB3306"/>
    <w:rsid w:val="00EB5ADF"/>
    <w:rsid w:val="00EB7463"/>
    <w:rsid w:val="00EC0CCE"/>
    <w:rsid w:val="00EC6487"/>
    <w:rsid w:val="00ED072C"/>
    <w:rsid w:val="00ED0B2A"/>
    <w:rsid w:val="00ED25F8"/>
    <w:rsid w:val="00ED493E"/>
    <w:rsid w:val="00EE21A9"/>
    <w:rsid w:val="00EE2CFE"/>
    <w:rsid w:val="00EE3BBF"/>
    <w:rsid w:val="00EE4785"/>
    <w:rsid w:val="00EE4E90"/>
    <w:rsid w:val="00EE7F22"/>
    <w:rsid w:val="00EF1EC0"/>
    <w:rsid w:val="00EF1FC4"/>
    <w:rsid w:val="00EF228B"/>
    <w:rsid w:val="00EF2418"/>
    <w:rsid w:val="00EF24F3"/>
    <w:rsid w:val="00EF2C3D"/>
    <w:rsid w:val="00EF5338"/>
    <w:rsid w:val="00EF5F7C"/>
    <w:rsid w:val="00EF6432"/>
    <w:rsid w:val="00EF69C2"/>
    <w:rsid w:val="00F01356"/>
    <w:rsid w:val="00F03086"/>
    <w:rsid w:val="00F065B9"/>
    <w:rsid w:val="00F11787"/>
    <w:rsid w:val="00F11B98"/>
    <w:rsid w:val="00F20B46"/>
    <w:rsid w:val="00F20C52"/>
    <w:rsid w:val="00F212A4"/>
    <w:rsid w:val="00F22B8A"/>
    <w:rsid w:val="00F23267"/>
    <w:rsid w:val="00F264F4"/>
    <w:rsid w:val="00F268E9"/>
    <w:rsid w:val="00F3367C"/>
    <w:rsid w:val="00F336D3"/>
    <w:rsid w:val="00F35D66"/>
    <w:rsid w:val="00F41831"/>
    <w:rsid w:val="00F419DB"/>
    <w:rsid w:val="00F43F85"/>
    <w:rsid w:val="00F4452B"/>
    <w:rsid w:val="00F4541D"/>
    <w:rsid w:val="00F474D3"/>
    <w:rsid w:val="00F5095E"/>
    <w:rsid w:val="00F5173E"/>
    <w:rsid w:val="00F52F7B"/>
    <w:rsid w:val="00F550DF"/>
    <w:rsid w:val="00F55627"/>
    <w:rsid w:val="00F56F0C"/>
    <w:rsid w:val="00F57916"/>
    <w:rsid w:val="00F63B79"/>
    <w:rsid w:val="00F643E1"/>
    <w:rsid w:val="00F66888"/>
    <w:rsid w:val="00F7101C"/>
    <w:rsid w:val="00F71252"/>
    <w:rsid w:val="00F7158A"/>
    <w:rsid w:val="00F72172"/>
    <w:rsid w:val="00F7411A"/>
    <w:rsid w:val="00F74745"/>
    <w:rsid w:val="00F75027"/>
    <w:rsid w:val="00F75B43"/>
    <w:rsid w:val="00F7640F"/>
    <w:rsid w:val="00F801B9"/>
    <w:rsid w:val="00F835D0"/>
    <w:rsid w:val="00F837CD"/>
    <w:rsid w:val="00F86E54"/>
    <w:rsid w:val="00F90616"/>
    <w:rsid w:val="00F9217F"/>
    <w:rsid w:val="00F94272"/>
    <w:rsid w:val="00F9489B"/>
    <w:rsid w:val="00F9493B"/>
    <w:rsid w:val="00F95D37"/>
    <w:rsid w:val="00F963D1"/>
    <w:rsid w:val="00F967AF"/>
    <w:rsid w:val="00FA00C1"/>
    <w:rsid w:val="00FA098E"/>
    <w:rsid w:val="00FA1944"/>
    <w:rsid w:val="00FA2BB9"/>
    <w:rsid w:val="00FA4D00"/>
    <w:rsid w:val="00FA5C9A"/>
    <w:rsid w:val="00FA5FD1"/>
    <w:rsid w:val="00FA757F"/>
    <w:rsid w:val="00FB03A1"/>
    <w:rsid w:val="00FB0F4C"/>
    <w:rsid w:val="00FB4015"/>
    <w:rsid w:val="00FB4ED5"/>
    <w:rsid w:val="00FB7E76"/>
    <w:rsid w:val="00FC02DE"/>
    <w:rsid w:val="00FC1409"/>
    <w:rsid w:val="00FC2C57"/>
    <w:rsid w:val="00FC3AFF"/>
    <w:rsid w:val="00FC3F2A"/>
    <w:rsid w:val="00FC792B"/>
    <w:rsid w:val="00FD1058"/>
    <w:rsid w:val="00FD1596"/>
    <w:rsid w:val="00FD5E11"/>
    <w:rsid w:val="00FD6640"/>
    <w:rsid w:val="00FD6D90"/>
    <w:rsid w:val="00FD6EF5"/>
    <w:rsid w:val="00FE147F"/>
    <w:rsid w:val="00FE1566"/>
    <w:rsid w:val="00FE1743"/>
    <w:rsid w:val="00FE1F55"/>
    <w:rsid w:val="00FE284D"/>
    <w:rsid w:val="00FE29C7"/>
    <w:rsid w:val="00FE2C93"/>
    <w:rsid w:val="00FE366D"/>
    <w:rsid w:val="00FE4652"/>
    <w:rsid w:val="00FE64FC"/>
    <w:rsid w:val="00FF03A3"/>
    <w:rsid w:val="00FF4547"/>
    <w:rsid w:val="00FF60AB"/>
    <w:rsid w:val="00FF6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F0"/>
    <w:rPr>
      <w:rFonts w:ascii="Times New Roman" w:eastAsia="Times New Roman" w:hAnsi="Times New Roman"/>
      <w:sz w:val="24"/>
      <w:szCs w:val="24"/>
      <w:lang w:val="en-US" w:eastAsia="en-US"/>
    </w:rPr>
  </w:style>
  <w:style w:type="paragraph" w:styleId="Balk1">
    <w:name w:val="heading 1"/>
    <w:basedOn w:val="Normal"/>
    <w:next w:val="Normal"/>
    <w:link w:val="Balk1Char"/>
    <w:qFormat/>
    <w:rsid w:val="001700F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1700F0"/>
    <w:pPr>
      <w:keepNext/>
      <w:numPr>
        <w:ilvl w:val="1"/>
        <w:numId w:val="8"/>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1700F0"/>
    <w:pPr>
      <w:keepNext/>
      <w:numPr>
        <w:ilvl w:val="2"/>
        <w:numId w:val="8"/>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1700F0"/>
    <w:pPr>
      <w:keepNext/>
      <w:numPr>
        <w:ilvl w:val="3"/>
        <w:numId w:val="8"/>
      </w:numPr>
      <w:spacing w:before="240" w:after="60"/>
      <w:outlineLvl w:val="3"/>
    </w:pPr>
    <w:rPr>
      <w:b/>
      <w:bCs/>
      <w:sz w:val="28"/>
      <w:szCs w:val="28"/>
    </w:rPr>
  </w:style>
  <w:style w:type="paragraph" w:styleId="Balk5">
    <w:name w:val="heading 5"/>
    <w:basedOn w:val="Normal"/>
    <w:next w:val="Normal"/>
    <w:link w:val="Balk5Char"/>
    <w:qFormat/>
    <w:rsid w:val="001700F0"/>
    <w:pPr>
      <w:numPr>
        <w:ilvl w:val="4"/>
        <w:numId w:val="8"/>
      </w:numPr>
      <w:spacing w:before="240" w:after="60"/>
      <w:outlineLvl w:val="4"/>
    </w:pPr>
    <w:rPr>
      <w:b/>
      <w:bCs/>
      <w:i/>
      <w:iCs/>
      <w:sz w:val="26"/>
      <w:szCs w:val="26"/>
    </w:rPr>
  </w:style>
  <w:style w:type="paragraph" w:styleId="Balk6">
    <w:name w:val="heading 6"/>
    <w:basedOn w:val="Normal"/>
    <w:next w:val="Normal"/>
    <w:link w:val="Balk6Char"/>
    <w:qFormat/>
    <w:rsid w:val="001700F0"/>
    <w:pPr>
      <w:numPr>
        <w:ilvl w:val="5"/>
        <w:numId w:val="8"/>
      </w:numPr>
      <w:spacing w:before="240" w:after="60"/>
      <w:outlineLvl w:val="5"/>
    </w:pPr>
    <w:rPr>
      <w:b/>
      <w:bCs/>
      <w:sz w:val="22"/>
      <w:szCs w:val="22"/>
    </w:rPr>
  </w:style>
  <w:style w:type="paragraph" w:styleId="Balk7">
    <w:name w:val="heading 7"/>
    <w:basedOn w:val="Normal"/>
    <w:next w:val="Normal"/>
    <w:link w:val="Balk7Char"/>
    <w:qFormat/>
    <w:rsid w:val="001700F0"/>
    <w:pPr>
      <w:numPr>
        <w:ilvl w:val="6"/>
        <w:numId w:val="8"/>
      </w:numPr>
      <w:spacing w:before="240" w:after="60"/>
      <w:outlineLvl w:val="6"/>
    </w:pPr>
  </w:style>
  <w:style w:type="paragraph" w:styleId="Balk8">
    <w:name w:val="heading 8"/>
    <w:basedOn w:val="Normal"/>
    <w:next w:val="Normal"/>
    <w:link w:val="Balk8Char"/>
    <w:qFormat/>
    <w:rsid w:val="001700F0"/>
    <w:pPr>
      <w:numPr>
        <w:ilvl w:val="7"/>
        <w:numId w:val="8"/>
      </w:numPr>
      <w:spacing w:before="240" w:after="60"/>
      <w:outlineLvl w:val="7"/>
    </w:pPr>
    <w:rPr>
      <w:i/>
      <w:iCs/>
    </w:rPr>
  </w:style>
  <w:style w:type="paragraph" w:styleId="Balk9">
    <w:name w:val="heading 9"/>
    <w:basedOn w:val="Normal"/>
    <w:next w:val="Normal"/>
    <w:link w:val="Balk9Char"/>
    <w:qFormat/>
    <w:rsid w:val="001700F0"/>
    <w:pPr>
      <w:numPr>
        <w:ilvl w:val="8"/>
        <w:numId w:val="8"/>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700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1Char">
    <w:name w:val="Başlık 1 Char"/>
    <w:basedOn w:val="VarsaylanParagrafYazTipi"/>
    <w:link w:val="Balk1"/>
    <w:rsid w:val="001700F0"/>
    <w:rPr>
      <w:rFonts w:ascii="Arial" w:hAnsi="Arial" w:cs="Arial"/>
      <w:b/>
      <w:bCs/>
      <w:kern w:val="32"/>
      <w:sz w:val="32"/>
      <w:szCs w:val="32"/>
      <w:lang w:val="en-US" w:eastAsia="en-US" w:bidi="ar-SA"/>
    </w:rPr>
  </w:style>
  <w:style w:type="character" w:customStyle="1" w:styleId="Balk2Char">
    <w:name w:val="Başlık 2 Char"/>
    <w:basedOn w:val="VarsaylanParagrafYazTipi"/>
    <w:link w:val="Balk2"/>
    <w:rsid w:val="001700F0"/>
    <w:rPr>
      <w:rFonts w:ascii="Arial" w:hAnsi="Arial" w:cs="Arial"/>
      <w:b/>
      <w:bCs/>
      <w:i/>
      <w:iCs/>
      <w:sz w:val="28"/>
      <w:szCs w:val="28"/>
      <w:lang w:val="en-US" w:eastAsia="en-US" w:bidi="ar-SA"/>
    </w:rPr>
  </w:style>
  <w:style w:type="character" w:customStyle="1" w:styleId="Balk3Char">
    <w:name w:val="Başlık 3 Char"/>
    <w:basedOn w:val="VarsaylanParagrafYazTipi"/>
    <w:link w:val="Balk3"/>
    <w:rsid w:val="001700F0"/>
    <w:rPr>
      <w:rFonts w:ascii="Arial" w:hAnsi="Arial" w:cs="Arial"/>
      <w:b/>
      <w:bCs/>
      <w:sz w:val="26"/>
      <w:szCs w:val="26"/>
      <w:lang w:val="en-US" w:eastAsia="en-US" w:bidi="ar-SA"/>
    </w:rPr>
  </w:style>
  <w:style w:type="character" w:customStyle="1" w:styleId="Balk4Char">
    <w:name w:val="Başlık 4 Char"/>
    <w:basedOn w:val="VarsaylanParagrafYazTipi"/>
    <w:link w:val="Balk4"/>
    <w:rsid w:val="001700F0"/>
    <w:rPr>
      <w:b/>
      <w:bCs/>
      <w:sz w:val="28"/>
      <w:szCs w:val="28"/>
      <w:lang w:val="en-US" w:eastAsia="en-US" w:bidi="ar-SA"/>
    </w:rPr>
  </w:style>
  <w:style w:type="character" w:customStyle="1" w:styleId="Balk5Char">
    <w:name w:val="Başlık 5 Char"/>
    <w:basedOn w:val="VarsaylanParagrafYazTipi"/>
    <w:link w:val="Balk5"/>
    <w:rsid w:val="001700F0"/>
    <w:rPr>
      <w:b/>
      <w:bCs/>
      <w:i/>
      <w:iCs/>
      <w:sz w:val="26"/>
      <w:szCs w:val="26"/>
      <w:lang w:val="en-US" w:eastAsia="en-US" w:bidi="ar-SA"/>
    </w:rPr>
  </w:style>
  <w:style w:type="character" w:customStyle="1" w:styleId="Balk6Char">
    <w:name w:val="Başlık 6 Char"/>
    <w:basedOn w:val="VarsaylanParagrafYazTipi"/>
    <w:link w:val="Balk6"/>
    <w:rsid w:val="001700F0"/>
    <w:rPr>
      <w:b/>
      <w:bCs/>
      <w:sz w:val="22"/>
      <w:szCs w:val="22"/>
      <w:lang w:val="en-US" w:eastAsia="en-US" w:bidi="ar-SA"/>
    </w:rPr>
  </w:style>
  <w:style w:type="character" w:customStyle="1" w:styleId="Balk7Char">
    <w:name w:val="Başlık 7 Char"/>
    <w:basedOn w:val="VarsaylanParagrafYazTipi"/>
    <w:link w:val="Balk7"/>
    <w:rsid w:val="001700F0"/>
    <w:rPr>
      <w:sz w:val="24"/>
      <w:szCs w:val="24"/>
      <w:lang w:val="en-US" w:eastAsia="en-US" w:bidi="ar-SA"/>
    </w:rPr>
  </w:style>
  <w:style w:type="character" w:customStyle="1" w:styleId="Balk8Char">
    <w:name w:val="Başlık 8 Char"/>
    <w:basedOn w:val="VarsaylanParagrafYazTipi"/>
    <w:link w:val="Balk8"/>
    <w:rsid w:val="001700F0"/>
    <w:rPr>
      <w:i/>
      <w:iCs/>
      <w:sz w:val="24"/>
      <w:szCs w:val="24"/>
      <w:lang w:val="en-US" w:eastAsia="en-US" w:bidi="ar-SA"/>
    </w:rPr>
  </w:style>
  <w:style w:type="character" w:customStyle="1" w:styleId="Balk9Char">
    <w:name w:val="Başlık 9 Char"/>
    <w:basedOn w:val="VarsaylanParagrafYazTipi"/>
    <w:link w:val="Balk9"/>
    <w:rsid w:val="001700F0"/>
    <w:rPr>
      <w:rFonts w:ascii="Arial" w:hAnsi="Arial" w:cs="Arial"/>
      <w:sz w:val="22"/>
      <w:szCs w:val="22"/>
      <w:lang w:val="en-US" w:eastAsia="en-US" w:bidi="ar-SA"/>
    </w:rPr>
  </w:style>
  <w:style w:type="paragraph" w:styleId="ResimYazs">
    <w:name w:val="caption"/>
    <w:basedOn w:val="Normal"/>
    <w:next w:val="Normal"/>
    <w:qFormat/>
    <w:rsid w:val="001700F0"/>
    <w:rPr>
      <w:b/>
      <w:bCs/>
      <w:sz w:val="20"/>
      <w:szCs w:val="20"/>
    </w:rPr>
  </w:style>
  <w:style w:type="paragraph" w:styleId="BalonMetni">
    <w:name w:val="Balloon Text"/>
    <w:basedOn w:val="Normal"/>
    <w:link w:val="BalonMetniChar"/>
    <w:uiPriority w:val="99"/>
    <w:semiHidden/>
    <w:unhideWhenUsed/>
    <w:rsid w:val="001700F0"/>
    <w:rPr>
      <w:rFonts w:ascii="Tahoma" w:hAnsi="Tahoma" w:cs="Tahoma"/>
      <w:sz w:val="16"/>
      <w:szCs w:val="16"/>
    </w:rPr>
  </w:style>
  <w:style w:type="character" w:customStyle="1" w:styleId="BalonMetniChar">
    <w:name w:val="Balon Metni Char"/>
    <w:basedOn w:val="VarsaylanParagrafYazTipi"/>
    <w:link w:val="BalonMetni"/>
    <w:uiPriority w:val="99"/>
    <w:semiHidden/>
    <w:rsid w:val="001700F0"/>
    <w:rPr>
      <w:rFonts w:ascii="Tahoma" w:eastAsia="Times New Roman" w:hAnsi="Tahoma" w:cs="Tahoma"/>
      <w:sz w:val="16"/>
      <w:szCs w:val="16"/>
      <w:lang w:val="en-US"/>
    </w:rPr>
  </w:style>
  <w:style w:type="paragraph" w:styleId="GvdeMetniGirintisi2">
    <w:name w:val="Body Text Indent 2"/>
    <w:basedOn w:val="Normal"/>
    <w:link w:val="GvdeMetniGirintisi2Char"/>
    <w:rsid w:val="004649B1"/>
    <w:pPr>
      <w:spacing w:after="120" w:line="480" w:lineRule="auto"/>
      <w:ind w:left="283"/>
    </w:pPr>
    <w:rPr>
      <w:lang w:val="tr-TR" w:eastAsia="tr-TR"/>
    </w:rPr>
  </w:style>
  <w:style w:type="character" w:customStyle="1" w:styleId="GvdeMetniGirintisi2Char">
    <w:name w:val="Gövde Metni Girintisi 2 Char"/>
    <w:basedOn w:val="VarsaylanParagrafYazTipi"/>
    <w:link w:val="GvdeMetniGirintisi2"/>
    <w:rsid w:val="004649B1"/>
    <w:rPr>
      <w:rFonts w:ascii="Times New Roman" w:eastAsia="Times New Roman" w:hAnsi="Times New Roman"/>
      <w:sz w:val="24"/>
      <w:szCs w:val="24"/>
    </w:rPr>
  </w:style>
  <w:style w:type="paragraph" w:styleId="NormalWeb">
    <w:name w:val="Normal (Web)"/>
    <w:basedOn w:val="Normal"/>
    <w:rsid w:val="006F5268"/>
    <w:pPr>
      <w:spacing w:before="100" w:beforeAutospacing="1" w:after="100" w:afterAutospacing="1"/>
    </w:pPr>
    <w:rPr>
      <w:lang w:val="tr-TR" w:eastAsia="tr-TR"/>
    </w:rPr>
  </w:style>
  <w:style w:type="paragraph" w:customStyle="1" w:styleId="ListParagraph">
    <w:name w:val="List Paragraph"/>
    <w:basedOn w:val="Normal"/>
    <w:uiPriority w:val="34"/>
    <w:qFormat/>
    <w:rsid w:val="00D623A1"/>
    <w:pPr>
      <w:ind w:left="708"/>
    </w:pPr>
  </w:style>
  <w:style w:type="paragraph" w:styleId="T1">
    <w:name w:val="toc 1"/>
    <w:basedOn w:val="Normal"/>
    <w:next w:val="Normal"/>
    <w:autoRedefine/>
    <w:uiPriority w:val="39"/>
    <w:rsid w:val="000B3500"/>
    <w:pPr>
      <w:tabs>
        <w:tab w:val="left" w:pos="480"/>
        <w:tab w:val="right" w:leader="dot" w:pos="9016"/>
      </w:tabs>
      <w:spacing w:before="120" w:after="120"/>
    </w:pPr>
    <w:rPr>
      <w:rFonts w:ascii="Century" w:hAnsi="Century"/>
      <w:b/>
      <w:bCs/>
      <w:caps/>
      <w:noProof/>
      <w:sz w:val="20"/>
      <w:szCs w:val="20"/>
      <w:lang w:val="tr-TR"/>
    </w:rPr>
  </w:style>
  <w:style w:type="character" w:styleId="Kpr">
    <w:name w:val="Hyperlink"/>
    <w:basedOn w:val="VarsaylanParagrafYazTipi"/>
    <w:rsid w:val="005D21D5"/>
    <w:rPr>
      <w:color w:val="0000FF"/>
      <w:u w:val="single"/>
    </w:rPr>
  </w:style>
  <w:style w:type="paragraph" w:styleId="T2">
    <w:name w:val="toc 2"/>
    <w:basedOn w:val="Normal"/>
    <w:next w:val="Normal"/>
    <w:autoRedefine/>
    <w:uiPriority w:val="39"/>
    <w:rsid w:val="00BD12DD"/>
    <w:pPr>
      <w:tabs>
        <w:tab w:val="left" w:pos="960"/>
        <w:tab w:val="right" w:leader="dot" w:pos="9016"/>
      </w:tabs>
    </w:pPr>
    <w:rPr>
      <w:rFonts w:ascii="Century" w:hAnsi="Century"/>
      <w:smallCaps/>
      <w:sz w:val="20"/>
      <w:szCs w:val="20"/>
      <w:lang w:val="tr-TR"/>
    </w:rPr>
  </w:style>
  <w:style w:type="paragraph" w:styleId="T3">
    <w:name w:val="toc 3"/>
    <w:basedOn w:val="Normal"/>
    <w:next w:val="Normal"/>
    <w:autoRedefine/>
    <w:uiPriority w:val="39"/>
    <w:rsid w:val="00820FD7"/>
    <w:pPr>
      <w:tabs>
        <w:tab w:val="left" w:pos="900"/>
        <w:tab w:val="right" w:leader="dot" w:pos="9016"/>
      </w:tabs>
      <w:ind w:left="480"/>
    </w:pPr>
    <w:rPr>
      <w:i/>
      <w:iCs/>
      <w:sz w:val="20"/>
      <w:szCs w:val="20"/>
    </w:rPr>
  </w:style>
  <w:style w:type="paragraph" w:styleId="T4">
    <w:name w:val="toc 4"/>
    <w:basedOn w:val="Normal"/>
    <w:next w:val="Normal"/>
    <w:autoRedefine/>
    <w:uiPriority w:val="39"/>
    <w:rsid w:val="00593661"/>
    <w:pPr>
      <w:tabs>
        <w:tab w:val="left" w:pos="1320"/>
        <w:tab w:val="right" w:leader="dot" w:pos="9000"/>
      </w:tabs>
      <w:ind w:left="720"/>
    </w:pPr>
    <w:rPr>
      <w:sz w:val="18"/>
      <w:szCs w:val="18"/>
    </w:rPr>
  </w:style>
  <w:style w:type="paragraph" w:styleId="ekillerTablosu">
    <w:name w:val="table of figures"/>
    <w:basedOn w:val="Normal"/>
    <w:next w:val="Normal"/>
    <w:uiPriority w:val="99"/>
    <w:rsid w:val="00613F00"/>
    <w:pPr>
      <w:ind w:left="480" w:hanging="480"/>
    </w:pPr>
    <w:rPr>
      <w:smallCaps/>
      <w:sz w:val="20"/>
      <w:szCs w:val="20"/>
    </w:rPr>
  </w:style>
  <w:style w:type="paragraph" w:styleId="stbilgi">
    <w:name w:val="header"/>
    <w:basedOn w:val="Normal"/>
    <w:link w:val="stbilgiChar"/>
    <w:uiPriority w:val="99"/>
    <w:semiHidden/>
    <w:unhideWhenUsed/>
    <w:rsid w:val="004D36CF"/>
    <w:pPr>
      <w:tabs>
        <w:tab w:val="center" w:pos="4513"/>
        <w:tab w:val="right" w:pos="9026"/>
      </w:tabs>
    </w:pPr>
  </w:style>
  <w:style w:type="character" w:customStyle="1" w:styleId="stbilgiChar">
    <w:name w:val="Üstbilgi Char"/>
    <w:basedOn w:val="VarsaylanParagrafYazTipi"/>
    <w:link w:val="stbilgi"/>
    <w:uiPriority w:val="99"/>
    <w:semiHidden/>
    <w:rsid w:val="004D36CF"/>
    <w:rPr>
      <w:rFonts w:ascii="Times New Roman" w:eastAsia="Times New Roman" w:hAnsi="Times New Roman"/>
      <w:sz w:val="24"/>
      <w:szCs w:val="24"/>
      <w:lang w:val="en-US" w:eastAsia="en-US"/>
    </w:rPr>
  </w:style>
  <w:style w:type="paragraph" w:styleId="Altbilgi">
    <w:name w:val="footer"/>
    <w:basedOn w:val="Normal"/>
    <w:link w:val="AltbilgiChar"/>
    <w:uiPriority w:val="99"/>
    <w:unhideWhenUsed/>
    <w:rsid w:val="004D36CF"/>
    <w:pPr>
      <w:tabs>
        <w:tab w:val="center" w:pos="4513"/>
        <w:tab w:val="right" w:pos="9026"/>
      </w:tabs>
    </w:pPr>
  </w:style>
  <w:style w:type="character" w:customStyle="1" w:styleId="AltbilgiChar">
    <w:name w:val="Altbilgi Char"/>
    <w:basedOn w:val="VarsaylanParagrafYazTipi"/>
    <w:link w:val="Altbilgi"/>
    <w:uiPriority w:val="99"/>
    <w:rsid w:val="004D36CF"/>
    <w:rPr>
      <w:rFonts w:ascii="Times New Roman" w:eastAsia="Times New Roman" w:hAnsi="Times New Roman"/>
      <w:sz w:val="24"/>
      <w:szCs w:val="24"/>
      <w:lang w:val="en-US" w:eastAsia="en-US"/>
    </w:rPr>
  </w:style>
  <w:style w:type="character" w:styleId="SayfaNumaras">
    <w:name w:val="page number"/>
    <w:basedOn w:val="VarsaylanParagrafYazTipi"/>
    <w:rsid w:val="00AB757E"/>
  </w:style>
  <w:style w:type="paragraph" w:styleId="GvdeMetniGirintisi">
    <w:name w:val="Body Text Indent"/>
    <w:basedOn w:val="Normal"/>
    <w:rsid w:val="00133A23"/>
    <w:pPr>
      <w:spacing w:after="120"/>
      <w:ind w:left="283"/>
    </w:pPr>
  </w:style>
  <w:style w:type="paragraph" w:customStyle="1" w:styleId="Style1">
    <w:name w:val="Style1"/>
    <w:basedOn w:val="Balk1"/>
    <w:rsid w:val="00FF03A3"/>
    <w:rPr>
      <w:rFonts w:ascii="Century" w:hAnsi="Century"/>
      <w:sz w:val="24"/>
      <w:szCs w:val="24"/>
      <w:lang w:val="tr-TR"/>
    </w:rPr>
  </w:style>
  <w:style w:type="paragraph" w:customStyle="1" w:styleId="Style2">
    <w:name w:val="Style2"/>
    <w:basedOn w:val="Balk1"/>
    <w:rsid w:val="00FF03A3"/>
    <w:pPr>
      <w:numPr>
        <w:numId w:val="8"/>
      </w:numPr>
    </w:pPr>
    <w:rPr>
      <w:rFonts w:ascii="Century" w:hAnsi="Century"/>
      <w:kern w:val="24"/>
      <w:sz w:val="24"/>
      <w:szCs w:val="24"/>
      <w:lang w:val="tr-TR"/>
    </w:rPr>
  </w:style>
  <w:style w:type="paragraph" w:customStyle="1" w:styleId="Style3">
    <w:name w:val="Style3"/>
    <w:basedOn w:val="Balk2"/>
    <w:rsid w:val="0015507C"/>
    <w:pPr>
      <w:keepNext w:val="0"/>
      <w:tabs>
        <w:tab w:val="clear" w:pos="666"/>
        <w:tab w:val="left" w:leader="dot" w:pos="432"/>
      </w:tabs>
      <w:spacing w:before="0" w:after="0"/>
      <w:ind w:left="1111" w:hanging="431"/>
      <w:jc w:val="both"/>
    </w:pPr>
    <w:rPr>
      <w:rFonts w:ascii="Century" w:hAnsi="Century"/>
      <w:i w:val="0"/>
      <w:sz w:val="24"/>
      <w:szCs w:val="24"/>
      <w:lang w:val="tr-TR"/>
    </w:rPr>
  </w:style>
  <w:style w:type="paragraph" w:customStyle="1" w:styleId="Style4">
    <w:name w:val="Style4"/>
    <w:basedOn w:val="Balk2"/>
    <w:rsid w:val="0015507C"/>
    <w:pPr>
      <w:keepNext w:val="0"/>
      <w:tabs>
        <w:tab w:val="clear" w:pos="666"/>
        <w:tab w:val="num" w:pos="432"/>
      </w:tabs>
      <w:spacing w:before="0" w:after="0"/>
      <w:ind w:left="1111" w:hanging="431"/>
    </w:pPr>
    <w:rPr>
      <w:rFonts w:ascii="Century" w:hAnsi="Century"/>
      <w:i w:val="0"/>
      <w:sz w:val="24"/>
      <w:szCs w:val="24"/>
      <w:lang w:val="tr-TR"/>
    </w:rPr>
  </w:style>
  <w:style w:type="character" w:styleId="zlenenKpr">
    <w:name w:val="FollowedHyperlink"/>
    <w:basedOn w:val="VarsaylanParagrafYazTipi"/>
    <w:uiPriority w:val="99"/>
    <w:semiHidden/>
    <w:unhideWhenUsed/>
    <w:rsid w:val="009159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5023">
      <w:bodyDiv w:val="1"/>
      <w:marLeft w:val="0"/>
      <w:marRight w:val="0"/>
      <w:marTop w:val="0"/>
      <w:marBottom w:val="0"/>
      <w:divBdr>
        <w:top w:val="none" w:sz="0" w:space="0" w:color="auto"/>
        <w:left w:val="none" w:sz="0" w:space="0" w:color="auto"/>
        <w:bottom w:val="none" w:sz="0" w:space="0" w:color="auto"/>
        <w:right w:val="none" w:sz="0" w:space="0" w:color="auto"/>
      </w:divBdr>
    </w:div>
    <w:div w:id="187379618">
      <w:bodyDiv w:val="1"/>
      <w:marLeft w:val="0"/>
      <w:marRight w:val="0"/>
      <w:marTop w:val="0"/>
      <w:marBottom w:val="0"/>
      <w:divBdr>
        <w:top w:val="none" w:sz="0" w:space="0" w:color="auto"/>
        <w:left w:val="none" w:sz="0" w:space="0" w:color="auto"/>
        <w:bottom w:val="none" w:sz="0" w:space="0" w:color="auto"/>
        <w:right w:val="none" w:sz="0" w:space="0" w:color="auto"/>
      </w:divBdr>
    </w:div>
    <w:div w:id="502018261">
      <w:bodyDiv w:val="1"/>
      <w:marLeft w:val="0"/>
      <w:marRight w:val="0"/>
      <w:marTop w:val="0"/>
      <w:marBottom w:val="0"/>
      <w:divBdr>
        <w:top w:val="none" w:sz="0" w:space="0" w:color="auto"/>
        <w:left w:val="none" w:sz="0" w:space="0" w:color="auto"/>
        <w:bottom w:val="none" w:sz="0" w:space="0" w:color="auto"/>
        <w:right w:val="none" w:sz="0" w:space="0" w:color="auto"/>
      </w:divBdr>
    </w:div>
    <w:div w:id="528687927">
      <w:bodyDiv w:val="1"/>
      <w:marLeft w:val="0"/>
      <w:marRight w:val="0"/>
      <w:marTop w:val="0"/>
      <w:marBottom w:val="0"/>
      <w:divBdr>
        <w:top w:val="none" w:sz="0" w:space="0" w:color="auto"/>
        <w:left w:val="none" w:sz="0" w:space="0" w:color="auto"/>
        <w:bottom w:val="none" w:sz="0" w:space="0" w:color="auto"/>
        <w:right w:val="none" w:sz="0" w:space="0" w:color="auto"/>
      </w:divBdr>
    </w:div>
    <w:div w:id="587690460">
      <w:bodyDiv w:val="1"/>
      <w:marLeft w:val="0"/>
      <w:marRight w:val="0"/>
      <w:marTop w:val="0"/>
      <w:marBottom w:val="0"/>
      <w:divBdr>
        <w:top w:val="none" w:sz="0" w:space="0" w:color="auto"/>
        <w:left w:val="none" w:sz="0" w:space="0" w:color="auto"/>
        <w:bottom w:val="none" w:sz="0" w:space="0" w:color="auto"/>
        <w:right w:val="none" w:sz="0" w:space="0" w:color="auto"/>
      </w:divBdr>
    </w:div>
    <w:div w:id="622737138">
      <w:bodyDiv w:val="1"/>
      <w:marLeft w:val="0"/>
      <w:marRight w:val="0"/>
      <w:marTop w:val="0"/>
      <w:marBottom w:val="0"/>
      <w:divBdr>
        <w:top w:val="none" w:sz="0" w:space="0" w:color="auto"/>
        <w:left w:val="none" w:sz="0" w:space="0" w:color="auto"/>
        <w:bottom w:val="none" w:sz="0" w:space="0" w:color="auto"/>
        <w:right w:val="none" w:sz="0" w:space="0" w:color="auto"/>
      </w:divBdr>
      <w:divsChild>
        <w:div w:id="27337338">
          <w:marLeft w:val="0"/>
          <w:marRight w:val="0"/>
          <w:marTop w:val="0"/>
          <w:marBottom w:val="0"/>
          <w:divBdr>
            <w:top w:val="none" w:sz="0" w:space="0" w:color="auto"/>
            <w:left w:val="none" w:sz="0" w:space="0" w:color="auto"/>
            <w:bottom w:val="none" w:sz="0" w:space="0" w:color="auto"/>
            <w:right w:val="none" w:sz="0" w:space="0" w:color="auto"/>
          </w:divBdr>
          <w:divsChild>
            <w:div w:id="13639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4288">
      <w:bodyDiv w:val="1"/>
      <w:marLeft w:val="0"/>
      <w:marRight w:val="0"/>
      <w:marTop w:val="0"/>
      <w:marBottom w:val="0"/>
      <w:divBdr>
        <w:top w:val="none" w:sz="0" w:space="0" w:color="auto"/>
        <w:left w:val="none" w:sz="0" w:space="0" w:color="auto"/>
        <w:bottom w:val="none" w:sz="0" w:space="0" w:color="auto"/>
        <w:right w:val="none" w:sz="0" w:space="0" w:color="auto"/>
      </w:divBdr>
    </w:div>
    <w:div w:id="667556039">
      <w:bodyDiv w:val="1"/>
      <w:marLeft w:val="0"/>
      <w:marRight w:val="0"/>
      <w:marTop w:val="0"/>
      <w:marBottom w:val="0"/>
      <w:divBdr>
        <w:top w:val="none" w:sz="0" w:space="0" w:color="auto"/>
        <w:left w:val="none" w:sz="0" w:space="0" w:color="auto"/>
        <w:bottom w:val="none" w:sz="0" w:space="0" w:color="auto"/>
        <w:right w:val="none" w:sz="0" w:space="0" w:color="auto"/>
      </w:divBdr>
    </w:div>
    <w:div w:id="961377914">
      <w:bodyDiv w:val="1"/>
      <w:marLeft w:val="0"/>
      <w:marRight w:val="0"/>
      <w:marTop w:val="0"/>
      <w:marBottom w:val="0"/>
      <w:divBdr>
        <w:top w:val="none" w:sz="0" w:space="0" w:color="auto"/>
        <w:left w:val="none" w:sz="0" w:space="0" w:color="auto"/>
        <w:bottom w:val="none" w:sz="0" w:space="0" w:color="auto"/>
        <w:right w:val="none" w:sz="0" w:space="0" w:color="auto"/>
      </w:divBdr>
    </w:div>
    <w:div w:id="1130437481">
      <w:bodyDiv w:val="1"/>
      <w:marLeft w:val="0"/>
      <w:marRight w:val="0"/>
      <w:marTop w:val="0"/>
      <w:marBottom w:val="0"/>
      <w:divBdr>
        <w:top w:val="none" w:sz="0" w:space="0" w:color="auto"/>
        <w:left w:val="none" w:sz="0" w:space="0" w:color="auto"/>
        <w:bottom w:val="none" w:sz="0" w:space="0" w:color="auto"/>
        <w:right w:val="none" w:sz="0" w:space="0" w:color="auto"/>
      </w:divBdr>
    </w:div>
    <w:div w:id="1152989315">
      <w:bodyDiv w:val="1"/>
      <w:marLeft w:val="0"/>
      <w:marRight w:val="0"/>
      <w:marTop w:val="0"/>
      <w:marBottom w:val="0"/>
      <w:divBdr>
        <w:top w:val="none" w:sz="0" w:space="0" w:color="auto"/>
        <w:left w:val="none" w:sz="0" w:space="0" w:color="auto"/>
        <w:bottom w:val="none" w:sz="0" w:space="0" w:color="auto"/>
        <w:right w:val="none" w:sz="0" w:space="0" w:color="auto"/>
      </w:divBdr>
    </w:div>
    <w:div w:id="1259370675">
      <w:bodyDiv w:val="1"/>
      <w:marLeft w:val="0"/>
      <w:marRight w:val="0"/>
      <w:marTop w:val="0"/>
      <w:marBottom w:val="0"/>
      <w:divBdr>
        <w:top w:val="none" w:sz="0" w:space="0" w:color="auto"/>
        <w:left w:val="none" w:sz="0" w:space="0" w:color="auto"/>
        <w:bottom w:val="none" w:sz="0" w:space="0" w:color="auto"/>
        <w:right w:val="none" w:sz="0" w:space="0" w:color="auto"/>
      </w:divBdr>
    </w:div>
    <w:div w:id="1264916826">
      <w:bodyDiv w:val="1"/>
      <w:marLeft w:val="0"/>
      <w:marRight w:val="0"/>
      <w:marTop w:val="0"/>
      <w:marBottom w:val="0"/>
      <w:divBdr>
        <w:top w:val="none" w:sz="0" w:space="0" w:color="auto"/>
        <w:left w:val="none" w:sz="0" w:space="0" w:color="auto"/>
        <w:bottom w:val="none" w:sz="0" w:space="0" w:color="auto"/>
        <w:right w:val="none" w:sz="0" w:space="0" w:color="auto"/>
      </w:divBdr>
    </w:div>
    <w:div w:id="1281953592">
      <w:bodyDiv w:val="1"/>
      <w:marLeft w:val="0"/>
      <w:marRight w:val="0"/>
      <w:marTop w:val="0"/>
      <w:marBottom w:val="0"/>
      <w:divBdr>
        <w:top w:val="none" w:sz="0" w:space="0" w:color="auto"/>
        <w:left w:val="none" w:sz="0" w:space="0" w:color="auto"/>
        <w:bottom w:val="none" w:sz="0" w:space="0" w:color="auto"/>
        <w:right w:val="none" w:sz="0" w:space="0" w:color="auto"/>
      </w:divBdr>
    </w:div>
    <w:div w:id="1638415534">
      <w:bodyDiv w:val="1"/>
      <w:marLeft w:val="0"/>
      <w:marRight w:val="0"/>
      <w:marTop w:val="0"/>
      <w:marBottom w:val="0"/>
      <w:divBdr>
        <w:top w:val="none" w:sz="0" w:space="0" w:color="auto"/>
        <w:left w:val="none" w:sz="0" w:space="0" w:color="auto"/>
        <w:bottom w:val="none" w:sz="0" w:space="0" w:color="auto"/>
        <w:right w:val="none" w:sz="0" w:space="0" w:color="auto"/>
      </w:divBdr>
    </w:div>
    <w:div w:id="1880820986">
      <w:bodyDiv w:val="1"/>
      <w:marLeft w:val="0"/>
      <w:marRight w:val="0"/>
      <w:marTop w:val="0"/>
      <w:marBottom w:val="0"/>
      <w:divBdr>
        <w:top w:val="none" w:sz="0" w:space="0" w:color="auto"/>
        <w:left w:val="none" w:sz="0" w:space="0" w:color="auto"/>
        <w:bottom w:val="none" w:sz="0" w:space="0" w:color="auto"/>
        <w:right w:val="none" w:sz="0" w:space="0" w:color="auto"/>
      </w:divBdr>
    </w:div>
    <w:div w:id="2017220542">
      <w:bodyDiv w:val="1"/>
      <w:marLeft w:val="0"/>
      <w:marRight w:val="0"/>
      <w:marTop w:val="0"/>
      <w:marBottom w:val="0"/>
      <w:divBdr>
        <w:top w:val="none" w:sz="0" w:space="0" w:color="auto"/>
        <w:left w:val="none" w:sz="0" w:space="0" w:color="auto"/>
        <w:bottom w:val="none" w:sz="0" w:space="0" w:color="auto"/>
        <w:right w:val="none" w:sz="0" w:space="0" w:color="auto"/>
      </w:divBdr>
    </w:div>
    <w:div w:id="21154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treasury.gov.tr" TargetMode="External"/><Relationship Id="rId18" Type="http://schemas.openxmlformats.org/officeDocument/2006/relationships/hyperlink" Target="http://www.swissre.com/" TargetMode="External"/><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image" Target="media/image49.emf"/><Relationship Id="rId68" Type="http://schemas.openxmlformats.org/officeDocument/2006/relationships/image" Target="media/image54.emf"/><Relationship Id="rId76" Type="http://schemas.openxmlformats.org/officeDocument/2006/relationships/image" Target="media/image62.emf"/><Relationship Id="rId84" Type="http://schemas.openxmlformats.org/officeDocument/2006/relationships/image" Target="media/image70.emf"/><Relationship Id="rId89" Type="http://schemas.openxmlformats.org/officeDocument/2006/relationships/image" Target="media/image75.emf"/><Relationship Id="rId7" Type="http://schemas.openxmlformats.org/officeDocument/2006/relationships/header" Target="header1.xml"/><Relationship Id="rId71" Type="http://schemas.openxmlformats.org/officeDocument/2006/relationships/image" Target="media/image57.emf"/><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image" Target="media/image15.emf"/><Relationship Id="rId11" Type="http://schemas.openxmlformats.org/officeDocument/2006/relationships/footer" Target="footer3.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image" Target="media/image52.emf"/><Relationship Id="rId74" Type="http://schemas.openxmlformats.org/officeDocument/2006/relationships/image" Target="media/image60.emf"/><Relationship Id="rId79" Type="http://schemas.openxmlformats.org/officeDocument/2006/relationships/image" Target="media/image65.emf"/><Relationship Id="rId87" Type="http://schemas.openxmlformats.org/officeDocument/2006/relationships/image" Target="media/image73.emf"/><Relationship Id="rId5" Type="http://schemas.openxmlformats.org/officeDocument/2006/relationships/footnotes" Target="footnotes.xml"/><Relationship Id="rId61" Type="http://schemas.openxmlformats.org/officeDocument/2006/relationships/image" Target="media/image47.emf"/><Relationship Id="rId82" Type="http://schemas.openxmlformats.org/officeDocument/2006/relationships/image" Target="media/image68.emf"/><Relationship Id="rId90" Type="http://schemas.openxmlformats.org/officeDocument/2006/relationships/fontTable" Target="fontTable.xml"/><Relationship Id="rId19" Type="http://schemas.openxmlformats.org/officeDocument/2006/relationships/image" Target="media/image5.emf"/><Relationship Id="rId14" Type="http://schemas.openxmlformats.org/officeDocument/2006/relationships/image" Target="media/image1.emf"/><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image" Target="media/image50.emf"/><Relationship Id="rId69" Type="http://schemas.openxmlformats.org/officeDocument/2006/relationships/image" Target="media/image55.emf"/><Relationship Id="rId77" Type="http://schemas.openxmlformats.org/officeDocument/2006/relationships/image" Target="media/image63.emf"/><Relationship Id="rId8" Type="http://schemas.openxmlformats.org/officeDocument/2006/relationships/footer" Target="footer1.xml"/><Relationship Id="rId51" Type="http://schemas.openxmlformats.org/officeDocument/2006/relationships/image" Target="media/image37.emf"/><Relationship Id="rId72" Type="http://schemas.openxmlformats.org/officeDocument/2006/relationships/image" Target="media/image58.emf"/><Relationship Id="rId80" Type="http://schemas.openxmlformats.org/officeDocument/2006/relationships/image" Target="media/image66.emf"/><Relationship Id="rId85" Type="http://schemas.openxmlformats.org/officeDocument/2006/relationships/image" Target="media/image71.emf"/><Relationship Id="rId3" Type="http://schemas.openxmlformats.org/officeDocument/2006/relationships/settings" Target="settings.xml"/><Relationship Id="rId12" Type="http://schemas.openxmlformats.org/officeDocument/2006/relationships/hyperlink" Target="http://www.hazine.gov.tr.sigortacilik.htm" TargetMode="External"/><Relationship Id="rId17" Type="http://schemas.openxmlformats.org/officeDocument/2006/relationships/image" Target="media/image4.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image" Target="media/image53.emf"/><Relationship Id="rId20" Type="http://schemas.openxmlformats.org/officeDocument/2006/relationships/image" Target="media/image6.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70" Type="http://schemas.openxmlformats.org/officeDocument/2006/relationships/image" Target="media/image56.emf"/><Relationship Id="rId75" Type="http://schemas.openxmlformats.org/officeDocument/2006/relationships/image" Target="media/image61.emf"/><Relationship Id="rId83" Type="http://schemas.openxmlformats.org/officeDocument/2006/relationships/image" Target="media/image69.emf"/><Relationship Id="rId88" Type="http://schemas.openxmlformats.org/officeDocument/2006/relationships/image" Target="media/image74.e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emf"/><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header" Target="header2.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emf"/><Relationship Id="rId65" Type="http://schemas.openxmlformats.org/officeDocument/2006/relationships/image" Target="media/image51.emf"/><Relationship Id="rId73" Type="http://schemas.openxmlformats.org/officeDocument/2006/relationships/image" Target="media/image59.emf"/><Relationship Id="rId78" Type="http://schemas.openxmlformats.org/officeDocument/2006/relationships/image" Target="media/image64.emf"/><Relationship Id="rId81" Type="http://schemas.openxmlformats.org/officeDocument/2006/relationships/image" Target="media/image67.emf"/><Relationship Id="rId86" Type="http://schemas.openxmlformats.org/officeDocument/2006/relationships/image" Target="media/image72.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71</Pages>
  <Words>18374</Words>
  <Characters>104735</Characters>
  <Application>Microsoft Office Word</Application>
  <DocSecurity>0</DocSecurity>
  <Lines>872</Lines>
  <Paragraphs>245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ÖNSÖZ</vt:lpstr>
      <vt:lpstr>ÖNSÖZ</vt:lpstr>
    </vt:vector>
  </TitlesOfParts>
  <Company>Hazine Müsteşarlığı</Company>
  <LinksUpToDate>false</LinksUpToDate>
  <CharactersWithSpaces>122864</CharactersWithSpaces>
  <SharedDoc>false</SharedDoc>
  <HLinks>
    <vt:vector size="18" baseType="variant">
      <vt:variant>
        <vt:i4>2687079</vt:i4>
      </vt:variant>
      <vt:variant>
        <vt:i4>123</vt:i4>
      </vt:variant>
      <vt:variant>
        <vt:i4>0</vt:i4>
      </vt:variant>
      <vt:variant>
        <vt:i4>5</vt:i4>
      </vt:variant>
      <vt:variant>
        <vt:lpwstr>http://www.swissre.com/</vt:lpwstr>
      </vt:variant>
      <vt:variant>
        <vt:lpwstr/>
      </vt:variant>
      <vt:variant>
        <vt:i4>2490410</vt:i4>
      </vt:variant>
      <vt:variant>
        <vt:i4>3</vt:i4>
      </vt:variant>
      <vt:variant>
        <vt:i4>0</vt:i4>
      </vt:variant>
      <vt:variant>
        <vt:i4>5</vt:i4>
      </vt:variant>
      <vt:variant>
        <vt:lpwstr>http://www.treasury.gov.tr/</vt:lpwstr>
      </vt:variant>
      <vt:variant>
        <vt:lpwstr/>
      </vt:variant>
      <vt:variant>
        <vt:i4>3670117</vt:i4>
      </vt:variant>
      <vt:variant>
        <vt:i4>0</vt:i4>
      </vt:variant>
      <vt:variant>
        <vt:i4>0</vt:i4>
      </vt:variant>
      <vt:variant>
        <vt:i4>5</vt:i4>
      </vt:variant>
      <vt:variant>
        <vt:lpwstr>http://www.hazine.gov.tr.sigortacilik.htm/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Yelmenoğlu</dc:creator>
  <cp:lastModifiedBy>HMSDK</cp:lastModifiedBy>
  <cp:revision>2</cp:revision>
  <cp:lastPrinted>2008-06-10T11:49:00Z</cp:lastPrinted>
  <dcterms:created xsi:type="dcterms:W3CDTF">2016-04-07T08:52:00Z</dcterms:created>
  <dcterms:modified xsi:type="dcterms:W3CDTF">2016-04-07T08:52:00Z</dcterms:modified>
</cp:coreProperties>
</file>