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A6" w:rsidRPr="00AE3975" w:rsidRDefault="00E615B1">
      <w:pPr>
        <w:pStyle w:val="Gvdemetni30"/>
        <w:shd w:val="clear" w:color="auto" w:fill="auto"/>
        <w:rPr>
          <w:lang w:val="en-GB"/>
        </w:rPr>
      </w:pPr>
      <w:r w:rsidRPr="00AE3975">
        <w:rPr>
          <w:noProof/>
          <w:lang w:bidi="ar-SA"/>
        </w:rPr>
        <w:drawing>
          <wp:anchor distT="0" distB="0" distL="63500" distR="283210" simplePos="0" relativeHeight="251657728" behindDoc="1" locked="0" layoutInCell="1" allowOverlap="1">
            <wp:simplePos x="0" y="0"/>
            <wp:positionH relativeFrom="margin">
              <wp:posOffset>-2475230</wp:posOffset>
            </wp:positionH>
            <wp:positionV relativeFrom="margin">
              <wp:posOffset>0</wp:posOffset>
            </wp:positionV>
            <wp:extent cx="2191385" cy="2350135"/>
            <wp:effectExtent l="0" t="0" r="0" b="0"/>
            <wp:wrapSquare wrapText="right"/>
            <wp:docPr id="2" name="Resim 2" descr="C:\Users\bcakmak\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cakmak\AppData\Local\Temp\ABBYY\PDFTransform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1385" cy="2350135"/>
                    </a:xfrm>
                    <a:prstGeom prst="rect">
                      <a:avLst/>
                    </a:prstGeom>
                    <a:noFill/>
                  </pic:spPr>
                </pic:pic>
              </a:graphicData>
            </a:graphic>
            <wp14:sizeRelH relativeFrom="page">
              <wp14:pctWidth>0</wp14:pctWidth>
            </wp14:sizeRelH>
            <wp14:sizeRelV relativeFrom="page">
              <wp14:pctHeight>0</wp14:pctHeight>
            </wp14:sizeRelV>
          </wp:anchor>
        </w:drawing>
      </w:r>
      <w:r w:rsidR="00A92F4F" w:rsidRPr="00AE3975">
        <w:rPr>
          <w:lang w:val="en-GB"/>
        </w:rPr>
        <w:t>REPUBLIC OF TURKEY</w:t>
      </w:r>
      <w:r w:rsidR="00A92F4F" w:rsidRPr="00AE3975">
        <w:rPr>
          <w:lang w:val="en-GB"/>
        </w:rPr>
        <w:br/>
        <w:t>THE MINISTRY OF TREASURY AND FINANCE</w:t>
      </w:r>
    </w:p>
    <w:p w:rsidR="00E847A6" w:rsidRPr="00AE3975" w:rsidRDefault="00A92F4F">
      <w:pPr>
        <w:pStyle w:val="Gvdemetni30"/>
        <w:shd w:val="clear" w:color="auto" w:fill="auto"/>
        <w:spacing w:after="3980"/>
        <w:rPr>
          <w:lang w:val="en-GB"/>
        </w:rPr>
      </w:pPr>
      <w:r w:rsidRPr="00AE3975">
        <w:rPr>
          <w:lang w:val="en-GB"/>
        </w:rPr>
        <w:t>MASAK</w:t>
      </w:r>
    </w:p>
    <w:p w:rsidR="00AE3975" w:rsidRPr="00AE3975" w:rsidRDefault="00A92F4F" w:rsidP="00AE3975">
      <w:pPr>
        <w:pStyle w:val="Gvdemetni40"/>
        <w:shd w:val="clear" w:color="auto" w:fill="auto"/>
        <w:spacing w:before="0"/>
        <w:rPr>
          <w:lang w:val="en-GB"/>
        </w:rPr>
      </w:pPr>
      <w:r w:rsidRPr="00AE3975">
        <w:rPr>
          <w:lang w:val="en-GB"/>
        </w:rPr>
        <w:t xml:space="preserve">GUIDANCE ON </w:t>
      </w:r>
      <w:r w:rsidR="00AE3975" w:rsidRPr="00AE3975">
        <w:rPr>
          <w:lang w:val="en-GB"/>
        </w:rPr>
        <w:t xml:space="preserve">FALSE </w:t>
      </w:r>
    </w:p>
    <w:p w:rsidR="00E847A6" w:rsidRPr="00AE3975" w:rsidRDefault="00AE3975" w:rsidP="00AE3975">
      <w:pPr>
        <w:pStyle w:val="Gvdemetni40"/>
        <w:shd w:val="clear" w:color="auto" w:fill="auto"/>
        <w:spacing w:before="0"/>
        <w:rPr>
          <w:lang w:val="en-GB"/>
        </w:rPr>
        <w:sectPr w:rsidR="00E847A6" w:rsidRPr="00AE3975">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0" w:h="16840"/>
          <w:pgMar w:top="2117" w:right="648" w:bottom="2117" w:left="4152" w:header="0" w:footer="3" w:gutter="0"/>
          <w:cols w:space="720"/>
          <w:noEndnote/>
          <w:docGrid w:linePitch="360"/>
        </w:sectPr>
      </w:pPr>
      <w:r w:rsidRPr="00AE3975">
        <w:rPr>
          <w:lang w:val="en-GB"/>
        </w:rPr>
        <w:t>POSITIVE CASES</w:t>
      </w:r>
    </w:p>
    <w:p w:rsidR="00E847A6" w:rsidRPr="00AE3975" w:rsidRDefault="00A92F4F">
      <w:pPr>
        <w:pStyle w:val="Gvdemetni20"/>
        <w:shd w:val="clear" w:color="auto" w:fill="auto"/>
        <w:ind w:firstLine="0"/>
        <w:rPr>
          <w:sz w:val="24"/>
          <w:szCs w:val="24"/>
          <w:lang w:val="en-GB"/>
        </w:rPr>
        <w:sectPr w:rsidR="00E847A6" w:rsidRPr="00AE3975">
          <w:pgSz w:w="11900" w:h="16840"/>
          <w:pgMar w:top="5194" w:right="1282" w:bottom="5194" w:left="1296" w:header="0" w:footer="3" w:gutter="0"/>
          <w:cols w:space="720"/>
          <w:noEndnote/>
          <w:docGrid w:linePitch="360"/>
        </w:sectPr>
      </w:pPr>
      <w:r w:rsidRPr="00AE3975">
        <w:rPr>
          <w:sz w:val="24"/>
          <w:szCs w:val="24"/>
          <w:lang w:val="en-GB"/>
        </w:rPr>
        <w:lastRenderedPageBreak/>
        <w:t xml:space="preserve">The purpose of this Guidance is to set forth instructions for those who have frozen assets within themselves during the execution of asset freezing decisions made based on the </w:t>
      </w:r>
      <w:r w:rsidR="00641F61">
        <w:rPr>
          <w:sz w:val="24"/>
          <w:szCs w:val="24"/>
          <w:lang w:val="en-GB"/>
        </w:rPr>
        <w:t xml:space="preserve">Law </w:t>
      </w:r>
      <w:r w:rsidR="00A04F65">
        <w:rPr>
          <w:sz w:val="24"/>
          <w:szCs w:val="24"/>
          <w:lang w:val="en-GB"/>
        </w:rPr>
        <w:t xml:space="preserve">No 7262 </w:t>
      </w:r>
      <w:r w:rsidR="00641F61">
        <w:rPr>
          <w:sz w:val="24"/>
          <w:szCs w:val="24"/>
          <w:lang w:val="en-GB"/>
        </w:rPr>
        <w:t xml:space="preserve">on Countering Proliferation Financing, </w:t>
      </w:r>
      <w:r w:rsidRPr="00AE3975">
        <w:rPr>
          <w:sz w:val="24"/>
          <w:szCs w:val="24"/>
          <w:lang w:val="en-GB"/>
        </w:rPr>
        <w:t>Law 6415 of 07.02.2013 on the Prevention of the Financing of Terrorism, the Regulation of 31.05.2013 on Principles and Procedures of the Implementation of the Law on the Prevention of the Financing of Terrorism and MASAK General Communique 12.</w:t>
      </w:r>
    </w:p>
    <w:p w:rsidR="00E847A6" w:rsidRPr="00AE3975" w:rsidRDefault="00A92F4F" w:rsidP="00BE6FE1">
      <w:pPr>
        <w:pStyle w:val="Gvdemetni50"/>
        <w:shd w:val="clear" w:color="auto" w:fill="auto"/>
        <w:spacing w:before="120" w:after="120" w:line="360" w:lineRule="auto"/>
        <w:rPr>
          <w:sz w:val="24"/>
          <w:szCs w:val="24"/>
          <w:lang w:val="en-GB"/>
        </w:rPr>
      </w:pPr>
      <w:bookmarkStart w:id="0" w:name="bookmark1"/>
      <w:bookmarkStart w:id="1" w:name="_GoBack"/>
      <w:bookmarkEnd w:id="1"/>
      <w:r w:rsidRPr="00AE3975">
        <w:rPr>
          <w:sz w:val="24"/>
          <w:szCs w:val="24"/>
          <w:lang w:val="en-GB"/>
        </w:rPr>
        <w:t>1. General Information</w:t>
      </w:r>
      <w:bookmarkEnd w:id="0"/>
    </w:p>
    <w:p w:rsidR="00E847A6" w:rsidRPr="00AE3975" w:rsidRDefault="00A92F4F" w:rsidP="00BE6FE1">
      <w:pPr>
        <w:pStyle w:val="Gvdemetni20"/>
        <w:shd w:val="clear" w:color="auto" w:fill="auto"/>
        <w:spacing w:before="120" w:after="120" w:line="360" w:lineRule="auto"/>
        <w:ind w:firstLine="0"/>
        <w:rPr>
          <w:sz w:val="24"/>
          <w:szCs w:val="24"/>
          <w:lang w:val="en-GB"/>
        </w:rPr>
      </w:pPr>
      <w:r w:rsidRPr="00AE3975">
        <w:rPr>
          <w:sz w:val="24"/>
          <w:szCs w:val="24"/>
          <w:lang w:val="en-GB"/>
        </w:rPr>
        <w:t>Law 6415 on Prevention of the Financing of Terrorism was issued under the scope of an effectively combat against terrorism and the financing of terrorism</w:t>
      </w:r>
      <w:r w:rsidR="00EB422B">
        <w:rPr>
          <w:sz w:val="24"/>
          <w:szCs w:val="24"/>
          <w:lang w:val="en-GB"/>
        </w:rPr>
        <w:t xml:space="preserve"> (TF)</w:t>
      </w:r>
      <w:r w:rsidRPr="00AE3975">
        <w:rPr>
          <w:sz w:val="24"/>
          <w:szCs w:val="24"/>
          <w:lang w:val="en-GB"/>
        </w:rPr>
        <w:t xml:space="preserve"> for the purpose of establishing principles and procedures regarding the implementation of the International Convention for the Suppression of the Financing of Terrorism and anti-terror and CFT-related decisions of UNSC within the scope of the mentioned Law, regulating the TF offence, and freezing of assets for the prevention of TF. The Regulation on Principles and Procedures of the Implementation of the Law on the Prevention of the Financing of Terrorism and MASAK General Communique 12 were prepared for demonstrating the implementation of this Law.</w:t>
      </w:r>
    </w:p>
    <w:p w:rsidR="00AE3975" w:rsidRPr="00AE3975" w:rsidRDefault="00AE3975" w:rsidP="00BE6FE1">
      <w:pPr>
        <w:pStyle w:val="Gvdemetni50"/>
        <w:spacing w:before="120" w:after="120" w:line="360" w:lineRule="auto"/>
        <w:rPr>
          <w:b w:val="0"/>
          <w:bCs w:val="0"/>
          <w:sz w:val="24"/>
          <w:szCs w:val="24"/>
          <w:lang w:val="en-GB"/>
        </w:rPr>
      </w:pPr>
      <w:bookmarkStart w:id="2" w:name="bookmark2"/>
      <w:r w:rsidRPr="00AE3975">
        <w:rPr>
          <w:b w:val="0"/>
          <w:bCs w:val="0"/>
          <w:sz w:val="24"/>
          <w:szCs w:val="24"/>
          <w:lang w:val="en-GB"/>
        </w:rPr>
        <w:t>Furthermore, the Law on Countering Proliferation Financing</w:t>
      </w:r>
      <w:r w:rsidR="00EB422B">
        <w:rPr>
          <w:b w:val="0"/>
          <w:bCs w:val="0"/>
          <w:sz w:val="24"/>
          <w:szCs w:val="24"/>
          <w:lang w:val="en-GB"/>
        </w:rPr>
        <w:t xml:space="preserve"> (PF)</w:t>
      </w:r>
      <w:r w:rsidRPr="00AE3975">
        <w:rPr>
          <w:b w:val="0"/>
          <w:bCs w:val="0"/>
          <w:sz w:val="24"/>
          <w:szCs w:val="24"/>
          <w:lang w:val="en-GB"/>
        </w:rPr>
        <w:t xml:space="preserve"> aims the implementation of the </w:t>
      </w:r>
      <w:r w:rsidR="00EB422B" w:rsidRPr="006C1003">
        <w:rPr>
          <w:b w:val="0"/>
          <w:sz w:val="24"/>
          <w:szCs w:val="24"/>
          <w:lang w:val="en-GB"/>
        </w:rPr>
        <w:t>United Nations Security Council (</w:t>
      </w:r>
      <w:r w:rsidRPr="00EB422B">
        <w:rPr>
          <w:b w:val="0"/>
          <w:bCs w:val="0"/>
          <w:sz w:val="24"/>
          <w:szCs w:val="24"/>
          <w:lang w:val="en-GB"/>
        </w:rPr>
        <w:t>UNSC</w:t>
      </w:r>
      <w:r w:rsidR="00EB422B" w:rsidRPr="00EB422B">
        <w:rPr>
          <w:b w:val="0"/>
          <w:bCs w:val="0"/>
          <w:sz w:val="24"/>
          <w:szCs w:val="24"/>
          <w:lang w:val="en-GB"/>
        </w:rPr>
        <w:t>)</w:t>
      </w:r>
      <w:r w:rsidRPr="00AE3975">
        <w:rPr>
          <w:b w:val="0"/>
          <w:bCs w:val="0"/>
          <w:sz w:val="24"/>
          <w:szCs w:val="24"/>
          <w:lang w:val="en-GB"/>
        </w:rPr>
        <w:t xml:space="preserve"> Resolutions in relation to PF such as 1718(2006) and 2231(2015) and in accordance with the Article 3(</w:t>
      </w:r>
      <w:r w:rsidR="00A04F65">
        <w:rPr>
          <w:b w:val="0"/>
          <w:bCs w:val="0"/>
          <w:sz w:val="24"/>
          <w:szCs w:val="24"/>
          <w:lang w:val="en-GB"/>
        </w:rPr>
        <w:t>4</w:t>
      </w:r>
      <w:r w:rsidRPr="00AE3975">
        <w:rPr>
          <w:b w:val="0"/>
          <w:bCs w:val="0"/>
          <w:sz w:val="24"/>
          <w:szCs w:val="24"/>
          <w:lang w:val="en-GB"/>
        </w:rPr>
        <w:t xml:space="preserve">) of the aforementioned law, the procedures detailed in Law No 6415 are to be also applied to the freezing/unfreezing of the funds or other assets in relation to PF. </w:t>
      </w:r>
    </w:p>
    <w:p w:rsidR="00AE3975" w:rsidRDefault="00AE3975" w:rsidP="00BE6FE1">
      <w:pPr>
        <w:pStyle w:val="Gvdemetni50"/>
        <w:shd w:val="clear" w:color="auto" w:fill="auto"/>
        <w:spacing w:before="120" w:after="120" w:line="360" w:lineRule="auto"/>
        <w:rPr>
          <w:b w:val="0"/>
          <w:bCs w:val="0"/>
          <w:sz w:val="24"/>
          <w:szCs w:val="24"/>
          <w:lang w:val="en-GB"/>
        </w:rPr>
      </w:pPr>
      <w:r w:rsidRPr="00AE3975">
        <w:rPr>
          <w:b w:val="0"/>
          <w:bCs w:val="0"/>
          <w:sz w:val="24"/>
          <w:szCs w:val="24"/>
          <w:lang w:val="en-GB"/>
        </w:rPr>
        <w:t>Under the mentioned legal framework and in accordance with Article 5, 6 and 7 of the Law 6415, and Article 3 of the Law on Countering Proliferation Financing assets of individuals, entities or organisations may be frozen based on the on UNSC Resolutions 1267 (1999), 1988 (2011), 1989 (2011) , 2253 (2015), 1718(2006) and 2231(2015).</w:t>
      </w:r>
    </w:p>
    <w:p w:rsidR="00E847A6" w:rsidRPr="00AE3975" w:rsidRDefault="00A92F4F" w:rsidP="00BE6FE1">
      <w:pPr>
        <w:pStyle w:val="Gvdemetni50"/>
        <w:shd w:val="clear" w:color="auto" w:fill="auto"/>
        <w:spacing w:before="120" w:after="120" w:line="360" w:lineRule="auto"/>
        <w:rPr>
          <w:sz w:val="24"/>
          <w:szCs w:val="24"/>
          <w:lang w:val="en-GB"/>
        </w:rPr>
      </w:pPr>
      <w:r w:rsidRPr="00AE3975">
        <w:rPr>
          <w:sz w:val="24"/>
          <w:szCs w:val="24"/>
          <w:lang w:val="en-GB"/>
        </w:rPr>
        <w:t xml:space="preserve">2. Legal </w:t>
      </w:r>
      <w:r w:rsidR="00AE3975">
        <w:rPr>
          <w:sz w:val="24"/>
          <w:szCs w:val="24"/>
          <w:lang w:val="en-GB"/>
        </w:rPr>
        <w:t xml:space="preserve">Framework </w:t>
      </w:r>
      <w:r w:rsidRPr="00AE3975">
        <w:rPr>
          <w:sz w:val="24"/>
          <w:szCs w:val="24"/>
          <w:lang w:val="en-GB"/>
        </w:rPr>
        <w:t>Regarding Name Similarity and Similar Situations</w:t>
      </w:r>
      <w:bookmarkEnd w:id="2"/>
    </w:p>
    <w:p w:rsidR="00E847A6" w:rsidRPr="00AE3975" w:rsidRDefault="00A92F4F" w:rsidP="00BE6FE1">
      <w:pPr>
        <w:pStyle w:val="Gvdemetni20"/>
        <w:shd w:val="clear" w:color="auto" w:fill="auto"/>
        <w:spacing w:before="120" w:after="120" w:line="360" w:lineRule="auto"/>
        <w:ind w:firstLine="0"/>
        <w:rPr>
          <w:sz w:val="24"/>
          <w:szCs w:val="24"/>
          <w:lang w:val="en-GB"/>
        </w:rPr>
      </w:pPr>
      <w:r w:rsidRPr="00AE3975">
        <w:rPr>
          <w:sz w:val="24"/>
          <w:szCs w:val="24"/>
          <w:lang w:val="en-GB"/>
        </w:rPr>
        <w:t>The article 12 (2) of Law No. 6415 contains the following provision:</w:t>
      </w:r>
    </w:p>
    <w:p w:rsidR="00E847A6" w:rsidRPr="00AE3975" w:rsidRDefault="00A92F4F" w:rsidP="00BE6FE1">
      <w:pPr>
        <w:pStyle w:val="Gvdemetni60"/>
        <w:shd w:val="clear" w:color="auto" w:fill="auto"/>
        <w:spacing w:before="120" w:after="120" w:line="360" w:lineRule="auto"/>
        <w:rPr>
          <w:sz w:val="24"/>
          <w:szCs w:val="24"/>
          <w:lang w:val="en-GB"/>
        </w:rPr>
      </w:pPr>
      <w:r w:rsidRPr="00AE3975">
        <w:rPr>
          <w:rStyle w:val="Gvdemetni6talikdeil"/>
          <w:sz w:val="24"/>
          <w:szCs w:val="24"/>
          <w:lang w:val="en-GB"/>
        </w:rPr>
        <w:t>“</w:t>
      </w:r>
      <w:r w:rsidRPr="00AE3975">
        <w:rPr>
          <w:sz w:val="24"/>
          <w:szCs w:val="24"/>
          <w:lang w:val="en-GB"/>
        </w:rPr>
        <w:t>MASAK is responsible for the execution of the decision on freezing of asset made in accordance with the provisions of this Law</w:t>
      </w:r>
      <w:r w:rsidRPr="00AE3975">
        <w:rPr>
          <w:rStyle w:val="Gvdemetni6talikdeil"/>
          <w:sz w:val="24"/>
          <w:szCs w:val="24"/>
          <w:lang w:val="en-GB"/>
        </w:rPr>
        <w:t>.”</w:t>
      </w:r>
    </w:p>
    <w:p w:rsidR="00BE6FE1" w:rsidRDefault="00A92F4F" w:rsidP="00BE6FE1">
      <w:pPr>
        <w:pStyle w:val="Gvdemetni60"/>
        <w:shd w:val="clear" w:color="auto" w:fill="auto"/>
        <w:spacing w:before="120" w:after="120" w:line="360" w:lineRule="auto"/>
        <w:rPr>
          <w:rStyle w:val="Gvdemetni6talikdeil"/>
          <w:sz w:val="24"/>
          <w:szCs w:val="24"/>
          <w:lang w:val="en-GB"/>
        </w:rPr>
      </w:pPr>
      <w:r w:rsidRPr="00AE3975">
        <w:rPr>
          <w:rStyle w:val="Gvdemetni6talikdeil"/>
          <w:sz w:val="24"/>
          <w:szCs w:val="24"/>
          <w:lang w:val="en-GB"/>
        </w:rPr>
        <w:t xml:space="preserve">Within this framework, article 14 (6) of the Regulation on the Procedures and Principles regarding the Implementation of Law on the Prevention of the Financing of Terrorism contains the following provision: </w:t>
      </w:r>
    </w:p>
    <w:p w:rsidR="00E847A6" w:rsidRPr="00AE3975" w:rsidRDefault="00A92F4F" w:rsidP="00BE6FE1">
      <w:pPr>
        <w:pStyle w:val="Gvdemetni60"/>
        <w:shd w:val="clear" w:color="auto" w:fill="auto"/>
        <w:spacing w:before="120" w:after="120" w:line="360" w:lineRule="auto"/>
        <w:rPr>
          <w:sz w:val="24"/>
          <w:szCs w:val="24"/>
          <w:lang w:val="en-GB"/>
        </w:rPr>
      </w:pPr>
      <w:r w:rsidRPr="00AE3975">
        <w:rPr>
          <w:sz w:val="24"/>
          <w:szCs w:val="24"/>
          <w:lang w:val="en-GB"/>
        </w:rPr>
        <w:t>“</w:t>
      </w:r>
      <w:r w:rsidRPr="00AE3975">
        <w:rPr>
          <w:rStyle w:val="Gvdemetni6115ptKaln"/>
          <w:i/>
          <w:iCs/>
          <w:sz w:val="24"/>
          <w:szCs w:val="24"/>
          <w:lang w:val="en-GB"/>
        </w:rPr>
        <w:t>The unfreezin</w:t>
      </w:r>
      <w:r w:rsidR="00AE3975">
        <w:rPr>
          <w:rStyle w:val="Gvdemetni6115ptKaln"/>
          <w:i/>
          <w:iCs/>
          <w:sz w:val="24"/>
          <w:szCs w:val="24"/>
          <w:lang w:val="en-GB"/>
        </w:rPr>
        <w:t>g</w:t>
      </w:r>
      <w:r w:rsidRPr="00AE3975">
        <w:rPr>
          <w:rStyle w:val="Gvdemetni6115ptKaln"/>
          <w:i/>
          <w:iCs/>
          <w:sz w:val="24"/>
          <w:szCs w:val="24"/>
          <w:lang w:val="en-GB"/>
        </w:rPr>
        <w:t xml:space="preserve"> request related to misapplied asset-freezin</w:t>
      </w:r>
      <w:r w:rsidR="00AE3975">
        <w:rPr>
          <w:rStyle w:val="Gvdemetni6115ptKaln"/>
          <w:i/>
          <w:iCs/>
          <w:sz w:val="24"/>
          <w:szCs w:val="24"/>
          <w:lang w:val="en-GB"/>
        </w:rPr>
        <w:t>g</w:t>
      </w:r>
      <w:r w:rsidRPr="00AE3975">
        <w:rPr>
          <w:rStyle w:val="Gvdemetni6115ptKaln"/>
          <w:i/>
          <w:iCs/>
          <w:sz w:val="24"/>
          <w:szCs w:val="24"/>
          <w:lang w:val="en-GB"/>
        </w:rPr>
        <w:t xml:space="preserve"> decisions of Presidency due to name similarity</w:t>
      </w:r>
      <w:r w:rsidRPr="00AE3975">
        <w:rPr>
          <w:rStyle w:val="Gvdemetni6talikdeil0"/>
          <w:sz w:val="24"/>
          <w:szCs w:val="24"/>
          <w:lang w:val="en-GB"/>
        </w:rPr>
        <w:t xml:space="preserve">, </w:t>
      </w:r>
      <w:r w:rsidRPr="00AE3975">
        <w:rPr>
          <w:rStyle w:val="Gvdemetni61"/>
          <w:i/>
          <w:iCs/>
          <w:sz w:val="24"/>
          <w:szCs w:val="24"/>
          <w:lang w:val="en-GB"/>
        </w:rPr>
        <w:t>f</w:t>
      </w:r>
      <w:r w:rsidRPr="00AE3975">
        <w:rPr>
          <w:sz w:val="24"/>
          <w:szCs w:val="24"/>
          <w:lang w:val="en-GB"/>
        </w:rPr>
        <w:t xml:space="preserve">alse or missing identity information and similar grounds </w:t>
      </w:r>
      <w:r w:rsidRPr="00AE3975">
        <w:rPr>
          <w:rStyle w:val="Gvdemetni6115ptKaln"/>
          <w:i/>
          <w:iCs/>
          <w:sz w:val="24"/>
          <w:szCs w:val="24"/>
          <w:lang w:val="en-GB"/>
        </w:rPr>
        <w:t>shall be made to MASAK</w:t>
      </w:r>
      <w:r w:rsidRPr="00AE3975">
        <w:rPr>
          <w:rStyle w:val="Gvdemetni6115ptKaln0"/>
          <w:i/>
          <w:iCs/>
          <w:sz w:val="24"/>
          <w:szCs w:val="24"/>
          <w:lang w:val="en-GB"/>
        </w:rPr>
        <w:t xml:space="preserve"> </w:t>
      </w:r>
      <w:r w:rsidRPr="00AE3975">
        <w:rPr>
          <w:sz w:val="24"/>
          <w:szCs w:val="24"/>
          <w:lang w:val="en-GB"/>
        </w:rPr>
        <w:t>in writing with the justification by annexing relevant documents, if any. In cases where MASAK approves the request, unfreezing shall be applied by notifying institutions and organizations, and natural and legal</w:t>
      </w:r>
      <w:r w:rsidR="00AE3975">
        <w:rPr>
          <w:sz w:val="24"/>
          <w:szCs w:val="24"/>
          <w:lang w:val="en-GB"/>
        </w:rPr>
        <w:t xml:space="preserve"> </w:t>
      </w:r>
      <w:r w:rsidRPr="00AE3975">
        <w:rPr>
          <w:sz w:val="24"/>
          <w:szCs w:val="24"/>
          <w:lang w:val="en-GB"/>
        </w:rPr>
        <w:t>persons stated in this Article without delay”</w:t>
      </w:r>
    </w:p>
    <w:p w:rsidR="00BE6FE1" w:rsidRDefault="00A92F4F" w:rsidP="00BE6FE1">
      <w:pPr>
        <w:pStyle w:val="Gvdemetni60"/>
        <w:shd w:val="clear" w:color="auto" w:fill="auto"/>
        <w:spacing w:before="120" w:after="120" w:line="360" w:lineRule="auto"/>
        <w:rPr>
          <w:sz w:val="24"/>
          <w:szCs w:val="24"/>
          <w:lang w:val="en-GB"/>
        </w:rPr>
      </w:pPr>
      <w:r w:rsidRPr="00AE3975">
        <w:rPr>
          <w:sz w:val="24"/>
          <w:szCs w:val="24"/>
          <w:lang w:val="en-GB"/>
        </w:rPr>
        <w:t>Also, within this scope, The MASAK General Communique (No</w:t>
      </w:r>
      <w:proofErr w:type="gramStart"/>
      <w:r w:rsidRPr="00AE3975">
        <w:rPr>
          <w:sz w:val="24"/>
          <w:szCs w:val="24"/>
          <w:lang w:val="en-GB"/>
        </w:rPr>
        <w:t>:12</w:t>
      </w:r>
      <w:proofErr w:type="gramEnd"/>
      <w:r w:rsidRPr="00AE3975">
        <w:rPr>
          <w:sz w:val="24"/>
          <w:szCs w:val="24"/>
          <w:lang w:val="en-GB"/>
        </w:rPr>
        <w:t>) contains the following provision:</w:t>
      </w:r>
    </w:p>
    <w:p w:rsidR="00E847A6" w:rsidRPr="00BE6FE1" w:rsidRDefault="00A92F4F" w:rsidP="00BE6FE1">
      <w:pPr>
        <w:pStyle w:val="Gvdemetni60"/>
        <w:shd w:val="clear" w:color="auto" w:fill="auto"/>
        <w:spacing w:before="120" w:after="120" w:line="360" w:lineRule="auto"/>
        <w:rPr>
          <w:b/>
          <w:sz w:val="24"/>
          <w:szCs w:val="24"/>
          <w:lang w:val="en-GB"/>
        </w:rPr>
      </w:pPr>
      <w:r w:rsidRPr="00AE3975">
        <w:rPr>
          <w:sz w:val="24"/>
          <w:szCs w:val="24"/>
          <w:lang w:val="en-GB"/>
        </w:rPr>
        <w:t xml:space="preserve"> </w:t>
      </w:r>
      <w:r w:rsidRPr="00AE3975">
        <w:rPr>
          <w:rStyle w:val="Gvdemetni7talikdeil"/>
          <w:i w:val="0"/>
          <w:iCs w:val="0"/>
          <w:sz w:val="24"/>
          <w:szCs w:val="24"/>
          <w:lang w:val="en-GB"/>
        </w:rPr>
        <w:t>“</w:t>
      </w:r>
      <w:r w:rsidRPr="00BE6FE1">
        <w:rPr>
          <w:rStyle w:val="Gvdemetni7talikdeil"/>
          <w:b w:val="0"/>
          <w:iCs w:val="0"/>
          <w:sz w:val="24"/>
          <w:szCs w:val="24"/>
          <w:lang w:val="en-GB"/>
        </w:rPr>
        <w:t xml:space="preserve">2.5. </w:t>
      </w:r>
      <w:r w:rsidRPr="00BE6FE1">
        <w:rPr>
          <w:rStyle w:val="Gvdemetni7"/>
          <w:b w:val="0"/>
          <w:i/>
          <w:iCs/>
          <w:sz w:val="24"/>
          <w:szCs w:val="24"/>
          <w:lang w:val="en-GB"/>
        </w:rPr>
        <w:t>Uncertain Situations in Execution of Freezing Action</w:t>
      </w:r>
    </w:p>
    <w:p w:rsidR="00E847A6" w:rsidRPr="00BE6FE1" w:rsidRDefault="00A92F4F" w:rsidP="00BE6FE1">
      <w:pPr>
        <w:pStyle w:val="Gvdemetni60"/>
        <w:shd w:val="clear" w:color="auto" w:fill="auto"/>
        <w:spacing w:before="120" w:after="120" w:line="360" w:lineRule="auto"/>
        <w:rPr>
          <w:sz w:val="24"/>
          <w:szCs w:val="24"/>
          <w:lang w:val="en-GB"/>
        </w:rPr>
      </w:pPr>
      <w:r w:rsidRPr="00BE6FE1">
        <w:rPr>
          <w:sz w:val="24"/>
          <w:szCs w:val="24"/>
          <w:lang w:val="en-GB"/>
        </w:rPr>
        <w:t>On the other hand, if the person whose assets are frozen claims that she/he is not the person listed by the United</w:t>
      </w:r>
      <w:r w:rsidR="00BE6FE1">
        <w:rPr>
          <w:sz w:val="24"/>
          <w:szCs w:val="24"/>
          <w:lang w:val="en-GB"/>
        </w:rPr>
        <w:t xml:space="preserve"> </w:t>
      </w:r>
      <w:r w:rsidRPr="00BE6FE1">
        <w:rPr>
          <w:sz w:val="24"/>
          <w:szCs w:val="24"/>
          <w:lang w:val="en-GB"/>
        </w:rPr>
        <w:t xml:space="preserve">Nations Security Council (UNSC) Resolution, and an erroneous freezing action has been taken due to </w:t>
      </w:r>
      <w:r w:rsidRPr="00BE6FE1">
        <w:rPr>
          <w:rStyle w:val="Gvdemetni6115ptKaln"/>
          <w:i/>
          <w:iCs/>
          <w:sz w:val="24"/>
          <w:szCs w:val="24"/>
          <w:lang w:val="en-GB"/>
        </w:rPr>
        <w:t xml:space="preserve">name resemblance, incorrect or deficient identity information and similar </w:t>
      </w:r>
      <w:r w:rsidRPr="00BE6FE1">
        <w:rPr>
          <w:rStyle w:val="Gvdemetni6115ptKaln0"/>
          <w:i/>
          <w:iCs/>
          <w:sz w:val="24"/>
          <w:szCs w:val="24"/>
          <w:lang w:val="en-GB"/>
        </w:rPr>
        <w:t>reasons, the objection should be made to MASAK in writing together with its grounds and by</w:t>
      </w:r>
      <w:r w:rsidR="00BE6FE1">
        <w:rPr>
          <w:sz w:val="24"/>
          <w:szCs w:val="24"/>
          <w:lang w:val="en-GB"/>
        </w:rPr>
        <w:t xml:space="preserve"> </w:t>
      </w:r>
      <w:r w:rsidRPr="00BE6FE1">
        <w:rPr>
          <w:rStyle w:val="Gvdemetni6115ptKaln"/>
          <w:i/>
          <w:iCs/>
          <w:sz w:val="24"/>
          <w:szCs w:val="24"/>
          <w:lang w:val="en-GB"/>
        </w:rPr>
        <w:t>adding relevant documents</w:t>
      </w:r>
      <w:r w:rsidRPr="00BE6FE1">
        <w:rPr>
          <w:rStyle w:val="Gvdemetni6115ptKalntalikdeil"/>
          <w:i/>
          <w:sz w:val="24"/>
          <w:szCs w:val="24"/>
          <w:lang w:val="en-GB"/>
        </w:rPr>
        <w:t xml:space="preserve">, </w:t>
      </w:r>
      <w:r w:rsidRPr="00BE6FE1">
        <w:rPr>
          <w:rStyle w:val="Gvdemetni6115ptKaln"/>
          <w:i/>
          <w:iCs/>
          <w:sz w:val="24"/>
          <w:szCs w:val="24"/>
          <w:lang w:val="en-GB"/>
        </w:rPr>
        <w:t>if any.</w:t>
      </w:r>
      <w:r w:rsidRPr="00BE6FE1">
        <w:rPr>
          <w:rStyle w:val="Gvdemetni6115ptKaln0"/>
          <w:i/>
          <w:iCs/>
          <w:sz w:val="24"/>
          <w:szCs w:val="24"/>
          <w:lang w:val="en-GB"/>
        </w:rPr>
        <w:t xml:space="preserve"> </w:t>
      </w:r>
      <w:r w:rsidRPr="00BE6FE1">
        <w:rPr>
          <w:sz w:val="24"/>
          <w:szCs w:val="24"/>
          <w:lang w:val="en-GB"/>
        </w:rPr>
        <w:t>If MASAK approves, the situation shall be informed to liable parties immediately and the erroneous freezing action shall be corrected.</w:t>
      </w:r>
      <w:r w:rsidR="00BE6FE1">
        <w:rPr>
          <w:sz w:val="24"/>
          <w:szCs w:val="24"/>
          <w:lang w:val="en-GB"/>
        </w:rPr>
        <w:t>”</w:t>
      </w:r>
    </w:p>
    <w:p w:rsidR="00BE6FE1" w:rsidRPr="00BE6FE1" w:rsidRDefault="00A92F4F" w:rsidP="00BE6FE1">
      <w:pPr>
        <w:pStyle w:val="Gvdemetni60"/>
        <w:shd w:val="clear" w:color="auto" w:fill="auto"/>
        <w:spacing w:before="120" w:after="120" w:line="360" w:lineRule="auto"/>
        <w:rPr>
          <w:i w:val="0"/>
          <w:sz w:val="24"/>
          <w:szCs w:val="24"/>
          <w:lang w:val="en-GB"/>
        </w:rPr>
      </w:pPr>
      <w:r>
        <w:rPr>
          <w:rStyle w:val="Gvdemetni7talikdeil"/>
          <w:b w:val="0"/>
          <w:i w:val="0"/>
          <w:iCs w:val="0"/>
          <w:sz w:val="24"/>
          <w:szCs w:val="24"/>
          <w:lang w:val="en-GB"/>
        </w:rPr>
        <w:t xml:space="preserve">Furthermore, </w:t>
      </w:r>
      <w:r w:rsidR="00BE6FE1" w:rsidRPr="00BE6FE1">
        <w:rPr>
          <w:rStyle w:val="Gvdemetni7talikdeil"/>
          <w:b w:val="0"/>
          <w:i w:val="0"/>
          <w:iCs w:val="0"/>
          <w:sz w:val="24"/>
          <w:szCs w:val="24"/>
          <w:lang w:val="en-GB"/>
        </w:rPr>
        <w:t>Article 3(4) of the</w:t>
      </w:r>
      <w:r w:rsidR="00BE6FE1" w:rsidRPr="00BE6FE1">
        <w:rPr>
          <w:rStyle w:val="Gvdemetni7talikdeil"/>
          <w:i w:val="0"/>
          <w:iCs w:val="0"/>
          <w:sz w:val="24"/>
          <w:szCs w:val="24"/>
          <w:lang w:val="en-GB"/>
        </w:rPr>
        <w:t xml:space="preserve"> </w:t>
      </w:r>
      <w:r w:rsidR="00BE6FE1" w:rsidRPr="00BE6FE1">
        <w:rPr>
          <w:i w:val="0"/>
          <w:sz w:val="24"/>
          <w:szCs w:val="24"/>
          <w:lang w:val="en-GB"/>
        </w:rPr>
        <w:t>Law on Countering Proliferation Financing reads as follows:</w:t>
      </w:r>
    </w:p>
    <w:p w:rsidR="00BE6FE1" w:rsidRPr="000169F7" w:rsidRDefault="00BE6FE1" w:rsidP="00BE6FE1">
      <w:pPr>
        <w:pStyle w:val="Gvdemetni60"/>
        <w:shd w:val="clear" w:color="auto" w:fill="auto"/>
        <w:spacing w:before="120" w:after="120" w:line="360" w:lineRule="auto"/>
        <w:rPr>
          <w:sz w:val="24"/>
          <w:szCs w:val="24"/>
          <w:lang w:val="en-GB"/>
        </w:rPr>
      </w:pPr>
      <w:r>
        <w:rPr>
          <w:sz w:val="24"/>
          <w:szCs w:val="24"/>
          <w:lang w:val="en-GB"/>
        </w:rPr>
        <w:t>“</w:t>
      </w:r>
      <w:r w:rsidRPr="000169F7">
        <w:rPr>
          <w:sz w:val="24"/>
          <w:szCs w:val="24"/>
          <w:lang w:val="en-GB"/>
        </w:rPr>
        <w:t>Relevant provisions of the Law No.6415 shall apply as to execution and consequences of the decisions on freezing assets made pursuant to UNSC resolutions, without prejudice to the provisions in this law.</w:t>
      </w:r>
      <w:r>
        <w:rPr>
          <w:sz w:val="24"/>
          <w:szCs w:val="24"/>
          <w:lang w:val="en-GB"/>
        </w:rPr>
        <w:t>”</w:t>
      </w:r>
    </w:p>
    <w:p w:rsidR="00BE6FE1" w:rsidRDefault="00BE6FE1" w:rsidP="00BE6FE1">
      <w:pPr>
        <w:pStyle w:val="Gvdemetni60"/>
        <w:shd w:val="clear" w:color="auto" w:fill="auto"/>
        <w:spacing w:before="120" w:after="120" w:line="360" w:lineRule="auto"/>
        <w:rPr>
          <w:rStyle w:val="Gvdemetni7talikdeil"/>
          <w:b w:val="0"/>
          <w:i w:val="0"/>
          <w:iCs w:val="0"/>
          <w:sz w:val="24"/>
          <w:szCs w:val="24"/>
          <w:lang w:val="en-GB"/>
        </w:rPr>
      </w:pPr>
      <w:r w:rsidRPr="00BE6FE1">
        <w:rPr>
          <w:rStyle w:val="Gvdemetni7talikdeil"/>
          <w:b w:val="0"/>
          <w:i w:val="0"/>
          <w:iCs w:val="0"/>
          <w:sz w:val="24"/>
          <w:szCs w:val="24"/>
          <w:lang w:val="en-GB"/>
        </w:rPr>
        <w:t xml:space="preserve">Therefore </w:t>
      </w:r>
      <w:r>
        <w:rPr>
          <w:rStyle w:val="Gvdemetni7talikdeil"/>
          <w:b w:val="0"/>
          <w:i w:val="0"/>
          <w:iCs w:val="0"/>
          <w:sz w:val="24"/>
          <w:szCs w:val="24"/>
          <w:lang w:val="en-GB"/>
        </w:rPr>
        <w:t>provision</w:t>
      </w:r>
      <w:r w:rsidR="00A92F4F">
        <w:rPr>
          <w:rStyle w:val="Gvdemetni7talikdeil"/>
          <w:b w:val="0"/>
          <w:i w:val="0"/>
          <w:iCs w:val="0"/>
          <w:sz w:val="24"/>
          <w:szCs w:val="24"/>
          <w:lang w:val="en-GB"/>
        </w:rPr>
        <w:t>s</w:t>
      </w:r>
      <w:r>
        <w:rPr>
          <w:rStyle w:val="Gvdemetni7talikdeil"/>
          <w:b w:val="0"/>
          <w:i w:val="0"/>
          <w:iCs w:val="0"/>
          <w:sz w:val="24"/>
          <w:szCs w:val="24"/>
          <w:lang w:val="en-GB"/>
        </w:rPr>
        <w:t xml:space="preserve"> of the Law No 6415, including the procedures in relation to resolving false positive cases, are applicable in instances relevant to the implementation of UNSCR </w:t>
      </w:r>
      <w:r w:rsidR="00A92F4F">
        <w:rPr>
          <w:rStyle w:val="Gvdemetni7talikdeil"/>
          <w:b w:val="0"/>
          <w:i w:val="0"/>
          <w:iCs w:val="0"/>
          <w:sz w:val="24"/>
          <w:szCs w:val="24"/>
          <w:lang w:val="en-GB"/>
        </w:rPr>
        <w:t>1718(2006) and 2231(2015).</w:t>
      </w:r>
    </w:p>
    <w:p w:rsidR="00A92F4F" w:rsidRPr="00AE3975" w:rsidRDefault="00A92F4F" w:rsidP="00BE6FE1">
      <w:pPr>
        <w:pStyle w:val="Gvdemetni60"/>
        <w:shd w:val="clear" w:color="auto" w:fill="auto"/>
        <w:spacing w:before="120" w:after="120" w:line="360" w:lineRule="auto"/>
        <w:rPr>
          <w:sz w:val="24"/>
          <w:szCs w:val="24"/>
          <w:lang w:val="en-GB"/>
        </w:rPr>
      </w:pPr>
    </w:p>
    <w:p w:rsidR="00E847A6" w:rsidRPr="00AE3975" w:rsidRDefault="00A92F4F" w:rsidP="00BE6FE1">
      <w:pPr>
        <w:pStyle w:val="Balk20"/>
        <w:keepNext/>
        <w:keepLines/>
        <w:shd w:val="clear" w:color="auto" w:fill="auto"/>
        <w:spacing w:before="120" w:line="360" w:lineRule="auto"/>
        <w:rPr>
          <w:sz w:val="24"/>
          <w:szCs w:val="24"/>
          <w:lang w:val="en-GB"/>
        </w:rPr>
      </w:pPr>
      <w:bookmarkStart w:id="3" w:name="bookmark3"/>
      <w:r w:rsidRPr="00AE3975">
        <w:rPr>
          <w:sz w:val="24"/>
          <w:szCs w:val="24"/>
          <w:lang w:val="en-GB"/>
        </w:rPr>
        <w:t>Case Study</w:t>
      </w:r>
      <w:bookmarkEnd w:id="3"/>
    </w:p>
    <w:p w:rsidR="00E847A6" w:rsidRPr="00AE3975" w:rsidRDefault="00A92F4F" w:rsidP="00BE6FE1">
      <w:pPr>
        <w:pStyle w:val="Gvdemetni20"/>
        <w:shd w:val="clear" w:color="auto" w:fill="auto"/>
        <w:spacing w:before="120" w:after="120" w:line="360" w:lineRule="auto"/>
        <w:ind w:firstLine="0"/>
        <w:rPr>
          <w:sz w:val="24"/>
          <w:szCs w:val="24"/>
          <w:lang w:val="en-GB"/>
        </w:rPr>
      </w:pPr>
      <w:r w:rsidRPr="00AE3975">
        <w:rPr>
          <w:sz w:val="24"/>
          <w:szCs w:val="24"/>
          <w:lang w:val="en-GB"/>
        </w:rPr>
        <w:t xml:space="preserve">In the Presidential Decision published in the Official Gazette dated 27/11/2018 with the number 30608, the person named “Abu </w:t>
      </w:r>
      <w:proofErr w:type="spellStart"/>
      <w:r w:rsidRPr="00AE3975">
        <w:rPr>
          <w:sz w:val="24"/>
          <w:szCs w:val="24"/>
          <w:lang w:val="en-GB"/>
        </w:rPr>
        <w:t>Luqman</w:t>
      </w:r>
      <w:proofErr w:type="spellEnd"/>
      <w:r w:rsidRPr="00AE3975">
        <w:rPr>
          <w:sz w:val="24"/>
          <w:szCs w:val="24"/>
          <w:lang w:val="en-GB"/>
        </w:rPr>
        <w:t>” was decided to be listed and the assets of him were frozen for being associated with DAESH and Al-Qaeda.</w:t>
      </w:r>
    </w:p>
    <w:p w:rsidR="00A92F4F" w:rsidRDefault="00A92F4F" w:rsidP="00BE6FE1">
      <w:pPr>
        <w:pStyle w:val="Balk20"/>
        <w:keepNext/>
        <w:keepLines/>
        <w:shd w:val="clear" w:color="auto" w:fill="auto"/>
        <w:spacing w:before="120" w:line="360" w:lineRule="auto"/>
        <w:ind w:right="20"/>
        <w:jc w:val="center"/>
        <w:rPr>
          <w:sz w:val="24"/>
          <w:szCs w:val="24"/>
          <w:lang w:val="en-GB"/>
        </w:rPr>
      </w:pPr>
      <w:bookmarkStart w:id="4" w:name="bookmark4"/>
    </w:p>
    <w:p w:rsidR="00E847A6" w:rsidRPr="00AE3975" w:rsidRDefault="00A92F4F" w:rsidP="00BE6FE1">
      <w:pPr>
        <w:pStyle w:val="Balk20"/>
        <w:keepNext/>
        <w:keepLines/>
        <w:shd w:val="clear" w:color="auto" w:fill="auto"/>
        <w:spacing w:before="120" w:line="360" w:lineRule="auto"/>
        <w:ind w:right="20"/>
        <w:jc w:val="center"/>
        <w:rPr>
          <w:sz w:val="24"/>
          <w:szCs w:val="24"/>
          <w:lang w:val="en-GB"/>
        </w:rPr>
      </w:pPr>
      <w:r w:rsidRPr="00AE3975">
        <w:rPr>
          <w:sz w:val="24"/>
          <w:szCs w:val="24"/>
          <w:lang w:val="en-GB"/>
        </w:rPr>
        <w:t>LIST</w:t>
      </w:r>
      <w:bookmarkEnd w:id="4"/>
    </w:p>
    <w:p w:rsidR="00E847A6" w:rsidRPr="00AE3975" w:rsidRDefault="00A92F4F" w:rsidP="00BE6FE1">
      <w:pPr>
        <w:pStyle w:val="Balk20"/>
        <w:keepNext/>
        <w:keepLines/>
        <w:shd w:val="clear" w:color="auto" w:fill="auto"/>
        <w:spacing w:before="120" w:line="360" w:lineRule="auto"/>
        <w:rPr>
          <w:sz w:val="24"/>
          <w:szCs w:val="24"/>
          <w:lang w:val="en-GB"/>
        </w:rPr>
      </w:pPr>
      <w:bookmarkStart w:id="5" w:name="bookmark5"/>
      <w:r w:rsidRPr="00AE3975">
        <w:rPr>
          <w:sz w:val="24"/>
          <w:szCs w:val="24"/>
          <w:lang w:val="en-GB"/>
        </w:rPr>
        <w:t>A. NATURAL PERSON ASSOCIATED WITH DAESH AND AL-QAEDA</w:t>
      </w:r>
      <w:bookmarkEnd w:id="5"/>
    </w:p>
    <w:p w:rsidR="00E847A6" w:rsidRPr="00AE3975" w:rsidRDefault="00A92F4F" w:rsidP="00BE6FE1">
      <w:pPr>
        <w:pStyle w:val="Gvdemetni20"/>
        <w:shd w:val="clear" w:color="auto" w:fill="auto"/>
        <w:tabs>
          <w:tab w:val="left" w:pos="2585"/>
        </w:tabs>
        <w:spacing w:before="120" w:after="120" w:line="360" w:lineRule="auto"/>
        <w:ind w:left="780" w:right="4120"/>
        <w:jc w:val="left"/>
        <w:rPr>
          <w:sz w:val="24"/>
          <w:szCs w:val="24"/>
          <w:lang w:val="en-GB"/>
        </w:rPr>
      </w:pPr>
      <w:r w:rsidRPr="00AE3975">
        <w:rPr>
          <w:rStyle w:val="Gvdemetni2115ptKaln"/>
          <w:sz w:val="24"/>
          <w:szCs w:val="24"/>
          <w:lang w:val="en-GB"/>
        </w:rPr>
        <w:t xml:space="preserve">1. Name-Surname: </w:t>
      </w:r>
      <w:r w:rsidRPr="00AE3975">
        <w:rPr>
          <w:sz w:val="24"/>
          <w:szCs w:val="24"/>
          <w:lang w:val="en-GB"/>
        </w:rPr>
        <w:t xml:space="preserve">1: ANJEM 2: CHOUDARY </w:t>
      </w:r>
      <w:r w:rsidRPr="00AE3975">
        <w:rPr>
          <w:rStyle w:val="Gvdemetni2115ptKaln"/>
          <w:sz w:val="24"/>
          <w:szCs w:val="24"/>
          <w:lang w:val="en-GB"/>
        </w:rPr>
        <w:t>Title</w:t>
      </w:r>
      <w:r w:rsidRPr="00AE3975">
        <w:rPr>
          <w:rStyle w:val="Gvdemetni2115ptKaln"/>
          <w:sz w:val="24"/>
          <w:szCs w:val="24"/>
          <w:lang w:val="en-GB"/>
        </w:rPr>
        <w:tab/>
      </w:r>
      <w:r w:rsidRPr="00AE3975">
        <w:rPr>
          <w:sz w:val="24"/>
          <w:szCs w:val="24"/>
          <w:lang w:val="en-GB"/>
        </w:rPr>
        <w:t>: -</w:t>
      </w:r>
    </w:p>
    <w:p w:rsidR="00E847A6" w:rsidRPr="00AE3975" w:rsidRDefault="00A92F4F" w:rsidP="00BE6FE1">
      <w:pPr>
        <w:pStyle w:val="Balk20"/>
        <w:keepNext/>
        <w:keepLines/>
        <w:shd w:val="clear" w:color="auto" w:fill="auto"/>
        <w:tabs>
          <w:tab w:val="left" w:pos="2585"/>
        </w:tabs>
        <w:spacing w:before="120" w:line="360" w:lineRule="auto"/>
        <w:ind w:left="780"/>
        <w:rPr>
          <w:sz w:val="24"/>
          <w:szCs w:val="24"/>
          <w:lang w:val="en-GB"/>
        </w:rPr>
      </w:pPr>
      <w:bookmarkStart w:id="6" w:name="bookmark6"/>
      <w:r w:rsidRPr="00AE3975">
        <w:rPr>
          <w:sz w:val="24"/>
          <w:szCs w:val="24"/>
          <w:lang w:val="en-GB"/>
        </w:rPr>
        <w:t>Occupation</w:t>
      </w:r>
      <w:r w:rsidRPr="00AE3975">
        <w:rPr>
          <w:sz w:val="24"/>
          <w:szCs w:val="24"/>
          <w:lang w:val="en-GB"/>
        </w:rPr>
        <w:tab/>
      </w:r>
      <w:r w:rsidRPr="00AE3975">
        <w:rPr>
          <w:rStyle w:val="Balk211ptKalnDeil"/>
          <w:sz w:val="24"/>
          <w:szCs w:val="24"/>
          <w:lang w:val="en-GB"/>
        </w:rPr>
        <w:t>: -</w:t>
      </w:r>
      <w:bookmarkEnd w:id="6"/>
    </w:p>
    <w:p w:rsidR="00E847A6" w:rsidRPr="00AE3975" w:rsidRDefault="00A92F4F" w:rsidP="00BE6FE1">
      <w:pPr>
        <w:pStyle w:val="Gvdemetni20"/>
        <w:shd w:val="clear" w:color="auto" w:fill="auto"/>
        <w:tabs>
          <w:tab w:val="left" w:pos="2585"/>
        </w:tabs>
        <w:spacing w:before="120" w:after="120" w:line="360" w:lineRule="auto"/>
        <w:ind w:left="780" w:firstLine="0"/>
        <w:rPr>
          <w:sz w:val="24"/>
          <w:szCs w:val="24"/>
          <w:lang w:val="en-GB"/>
        </w:rPr>
      </w:pPr>
      <w:r w:rsidRPr="00AE3975">
        <w:rPr>
          <w:rStyle w:val="Gvdemetni2115ptKaln"/>
          <w:sz w:val="24"/>
          <w:szCs w:val="24"/>
          <w:lang w:val="en-GB"/>
        </w:rPr>
        <w:t>DOB</w:t>
      </w:r>
      <w:r w:rsidRPr="00AE3975">
        <w:rPr>
          <w:rStyle w:val="Gvdemetni2115ptKaln"/>
          <w:sz w:val="24"/>
          <w:szCs w:val="24"/>
          <w:lang w:val="en-GB"/>
        </w:rPr>
        <w:tab/>
      </w:r>
      <w:r w:rsidRPr="00AE3975">
        <w:rPr>
          <w:sz w:val="24"/>
          <w:szCs w:val="24"/>
          <w:lang w:val="en-GB"/>
        </w:rPr>
        <w:t>: 18 January 1967</w:t>
      </w:r>
    </w:p>
    <w:p w:rsidR="00E847A6" w:rsidRPr="00AE3975" w:rsidRDefault="00A92F4F" w:rsidP="00BE6FE1">
      <w:pPr>
        <w:pStyle w:val="Gvdemetni20"/>
        <w:shd w:val="clear" w:color="auto" w:fill="auto"/>
        <w:tabs>
          <w:tab w:val="left" w:pos="2585"/>
          <w:tab w:val="right" w:pos="9122"/>
        </w:tabs>
        <w:spacing w:before="120" w:after="120" w:line="360" w:lineRule="auto"/>
        <w:ind w:left="780" w:firstLine="0"/>
        <w:rPr>
          <w:sz w:val="24"/>
          <w:szCs w:val="24"/>
          <w:lang w:val="en-GB"/>
        </w:rPr>
      </w:pPr>
      <w:r w:rsidRPr="00AE3975">
        <w:rPr>
          <w:rStyle w:val="Gvdemetni2115ptKaln"/>
          <w:sz w:val="24"/>
          <w:szCs w:val="24"/>
          <w:lang w:val="en-GB"/>
        </w:rPr>
        <w:t>POB</w:t>
      </w:r>
      <w:r w:rsidRPr="00AE3975">
        <w:rPr>
          <w:rStyle w:val="Gvdemetni2115ptKaln"/>
          <w:sz w:val="24"/>
          <w:szCs w:val="24"/>
          <w:lang w:val="en-GB"/>
        </w:rPr>
        <w:tab/>
      </w:r>
      <w:r w:rsidRPr="00AE3975">
        <w:rPr>
          <w:sz w:val="24"/>
          <w:szCs w:val="24"/>
          <w:lang w:val="en-GB"/>
        </w:rPr>
        <w:t>: Welling,</w:t>
      </w:r>
      <w:r w:rsidRPr="00AE3975">
        <w:rPr>
          <w:sz w:val="24"/>
          <w:szCs w:val="24"/>
          <w:lang w:val="en-GB"/>
        </w:rPr>
        <w:tab/>
        <w:t>London, United Kingdom of Great Britain and Northern</w:t>
      </w:r>
    </w:p>
    <w:p w:rsidR="00E847A6" w:rsidRPr="00AE3975" w:rsidRDefault="00A92F4F" w:rsidP="00BE6FE1">
      <w:pPr>
        <w:pStyle w:val="Gvdemetni20"/>
        <w:shd w:val="clear" w:color="auto" w:fill="auto"/>
        <w:spacing w:before="120" w:after="120" w:line="360" w:lineRule="auto"/>
        <w:ind w:left="2780" w:firstLine="0"/>
        <w:jc w:val="left"/>
        <w:rPr>
          <w:sz w:val="24"/>
          <w:szCs w:val="24"/>
          <w:lang w:val="en-GB"/>
        </w:rPr>
      </w:pPr>
      <w:r w:rsidRPr="00AE3975">
        <w:rPr>
          <w:sz w:val="24"/>
          <w:szCs w:val="24"/>
          <w:lang w:val="en-GB"/>
        </w:rPr>
        <w:t>Ireland</w:t>
      </w:r>
    </w:p>
    <w:p w:rsidR="00E847A6" w:rsidRPr="00AE3975" w:rsidRDefault="00A92F4F" w:rsidP="00BE6FE1">
      <w:pPr>
        <w:pStyle w:val="Gvdemetni20"/>
        <w:shd w:val="clear" w:color="auto" w:fill="auto"/>
        <w:tabs>
          <w:tab w:val="left" w:pos="3314"/>
        </w:tabs>
        <w:spacing w:before="120" w:after="120" w:line="360" w:lineRule="auto"/>
        <w:ind w:left="780" w:firstLine="0"/>
        <w:rPr>
          <w:sz w:val="24"/>
          <w:szCs w:val="24"/>
          <w:lang w:val="en-GB"/>
        </w:rPr>
      </w:pPr>
      <w:r w:rsidRPr="00AE3975">
        <w:rPr>
          <w:rStyle w:val="Gvdemetni2115ptKaln"/>
          <w:sz w:val="24"/>
          <w:szCs w:val="24"/>
          <w:lang w:val="en-GB"/>
        </w:rPr>
        <w:t>Nationality</w:t>
      </w:r>
      <w:r w:rsidRPr="00AE3975">
        <w:rPr>
          <w:rStyle w:val="Gvdemetni2115ptKaln"/>
          <w:sz w:val="24"/>
          <w:szCs w:val="24"/>
          <w:lang w:val="en-GB"/>
        </w:rPr>
        <w:tab/>
      </w:r>
      <w:r w:rsidRPr="00AE3975">
        <w:rPr>
          <w:sz w:val="24"/>
          <w:szCs w:val="24"/>
          <w:lang w:val="en-GB"/>
        </w:rPr>
        <w:t>: United Kingdom of Great Britain and Northern Ireland</w:t>
      </w:r>
    </w:p>
    <w:p w:rsidR="00E847A6" w:rsidRPr="00AE3975" w:rsidRDefault="00A92F4F" w:rsidP="00BE6FE1">
      <w:pPr>
        <w:pStyle w:val="Gvdemetni20"/>
        <w:shd w:val="clear" w:color="auto" w:fill="auto"/>
        <w:spacing w:before="120" w:after="120" w:line="360" w:lineRule="auto"/>
        <w:ind w:left="3600" w:right="220" w:firstLine="0"/>
        <w:rPr>
          <w:sz w:val="24"/>
          <w:szCs w:val="24"/>
          <w:lang w:val="en-GB"/>
        </w:rPr>
      </w:pPr>
      <w:r w:rsidRPr="00AE3975">
        <w:rPr>
          <w:sz w:val="24"/>
          <w:szCs w:val="24"/>
          <w:lang w:val="en-GB"/>
        </w:rPr>
        <w:t>No.516384722, issued on 06/05/2013 (Issued by Glasgow Passport Office, Validity Date: 06/06/2023)</w:t>
      </w:r>
    </w:p>
    <w:p w:rsidR="00E847A6" w:rsidRPr="00AE3975" w:rsidRDefault="00A92F4F" w:rsidP="00BE6FE1">
      <w:pPr>
        <w:pStyle w:val="Balk20"/>
        <w:keepNext/>
        <w:keepLines/>
        <w:shd w:val="clear" w:color="auto" w:fill="auto"/>
        <w:spacing w:before="120" w:line="360" w:lineRule="auto"/>
        <w:ind w:left="780"/>
        <w:rPr>
          <w:sz w:val="24"/>
          <w:szCs w:val="24"/>
          <w:lang w:val="en-GB"/>
        </w:rPr>
      </w:pPr>
      <w:bookmarkStart w:id="7" w:name="bookmark7"/>
      <w:r w:rsidRPr="00AE3975">
        <w:rPr>
          <w:sz w:val="24"/>
          <w:szCs w:val="24"/>
          <w:lang w:val="en-GB"/>
        </w:rPr>
        <w:t xml:space="preserve">National ID </w:t>
      </w:r>
      <w:proofErr w:type="gramStart"/>
      <w:r w:rsidRPr="00AE3975">
        <w:rPr>
          <w:sz w:val="24"/>
          <w:szCs w:val="24"/>
          <w:lang w:val="en-GB"/>
        </w:rPr>
        <w:t xml:space="preserve">No </w:t>
      </w:r>
      <w:r w:rsidRPr="00AE3975">
        <w:rPr>
          <w:rStyle w:val="Balk211ptKalnDeil"/>
          <w:sz w:val="24"/>
          <w:szCs w:val="24"/>
          <w:lang w:val="en-GB"/>
        </w:rPr>
        <w:t>:</w:t>
      </w:r>
      <w:proofErr w:type="gramEnd"/>
      <w:r w:rsidRPr="00AE3975">
        <w:rPr>
          <w:rStyle w:val="Balk211ptKalnDeil"/>
          <w:sz w:val="24"/>
          <w:szCs w:val="24"/>
          <w:lang w:val="en-GB"/>
        </w:rPr>
        <w:t xml:space="preserve"> -</w:t>
      </w:r>
      <w:bookmarkEnd w:id="7"/>
    </w:p>
    <w:p w:rsidR="00E847A6" w:rsidRPr="00AE3975" w:rsidRDefault="00A92F4F" w:rsidP="00BE6FE1">
      <w:pPr>
        <w:pStyle w:val="Gvdemetni20"/>
        <w:shd w:val="clear" w:color="auto" w:fill="auto"/>
        <w:tabs>
          <w:tab w:val="left" w:pos="2585"/>
        </w:tabs>
        <w:spacing w:before="120" w:after="120" w:line="360" w:lineRule="auto"/>
        <w:ind w:left="780" w:firstLine="0"/>
        <w:rPr>
          <w:sz w:val="24"/>
          <w:szCs w:val="24"/>
          <w:lang w:val="en-GB"/>
        </w:rPr>
      </w:pPr>
      <w:r w:rsidRPr="00AE3975">
        <w:rPr>
          <w:rStyle w:val="Gvdemetni2115ptKaln"/>
          <w:sz w:val="24"/>
          <w:szCs w:val="24"/>
          <w:lang w:val="en-GB"/>
        </w:rPr>
        <w:t>Address</w:t>
      </w:r>
      <w:r w:rsidRPr="00AE3975">
        <w:rPr>
          <w:rStyle w:val="Gvdemetni2115ptKaln"/>
          <w:sz w:val="24"/>
          <w:szCs w:val="24"/>
          <w:lang w:val="en-GB"/>
        </w:rPr>
        <w:tab/>
      </w:r>
      <w:r w:rsidRPr="00AE3975">
        <w:rPr>
          <w:sz w:val="24"/>
          <w:szCs w:val="24"/>
          <w:lang w:val="en-GB"/>
        </w:rPr>
        <w:t xml:space="preserve">: </w:t>
      </w:r>
      <w:proofErr w:type="spellStart"/>
      <w:r w:rsidRPr="00AE3975">
        <w:rPr>
          <w:sz w:val="24"/>
          <w:szCs w:val="24"/>
          <w:lang w:val="en-GB"/>
        </w:rPr>
        <w:t>Frankland</w:t>
      </w:r>
      <w:proofErr w:type="spellEnd"/>
      <w:r w:rsidRPr="00AE3975">
        <w:rPr>
          <w:sz w:val="24"/>
          <w:szCs w:val="24"/>
          <w:lang w:val="en-GB"/>
        </w:rPr>
        <w:t xml:space="preserve"> Prison, United Kingdom of Great Britain and Northern</w:t>
      </w:r>
    </w:p>
    <w:p w:rsidR="00E847A6" w:rsidRPr="00AE3975" w:rsidRDefault="00A92F4F" w:rsidP="00BE6FE1">
      <w:pPr>
        <w:pStyle w:val="Gvdemetni20"/>
        <w:shd w:val="clear" w:color="auto" w:fill="auto"/>
        <w:spacing w:before="120" w:after="120" w:line="360" w:lineRule="auto"/>
        <w:ind w:left="2900" w:firstLine="0"/>
        <w:jc w:val="left"/>
        <w:rPr>
          <w:sz w:val="24"/>
          <w:szCs w:val="24"/>
          <w:lang w:val="en-GB"/>
        </w:rPr>
      </w:pPr>
      <w:r w:rsidRPr="00AE3975">
        <w:rPr>
          <w:sz w:val="24"/>
          <w:szCs w:val="24"/>
          <w:lang w:val="en-GB"/>
        </w:rPr>
        <w:t>Ireland</w:t>
      </w:r>
    </w:p>
    <w:p w:rsidR="00E847A6" w:rsidRPr="00AE3975" w:rsidRDefault="00A92F4F" w:rsidP="00BE6FE1">
      <w:pPr>
        <w:pStyle w:val="Gvdemetni60"/>
        <w:shd w:val="clear" w:color="auto" w:fill="auto"/>
        <w:spacing w:before="120" w:after="120" w:line="360" w:lineRule="auto"/>
        <w:ind w:left="240"/>
        <w:jc w:val="left"/>
        <w:rPr>
          <w:sz w:val="24"/>
          <w:szCs w:val="24"/>
          <w:lang w:val="en-GB"/>
        </w:rPr>
        <w:sectPr w:rsidR="00E847A6" w:rsidRPr="00AE3975">
          <w:pgSz w:w="11900" w:h="16840"/>
          <w:pgMar w:top="1896" w:right="1279" w:bottom="2750" w:left="1265" w:header="0" w:footer="3" w:gutter="0"/>
          <w:cols w:space="720"/>
          <w:noEndnote/>
          <w:docGrid w:linePitch="360"/>
        </w:sectPr>
      </w:pPr>
      <w:r w:rsidRPr="00AE3975">
        <w:rPr>
          <w:sz w:val="24"/>
          <w:szCs w:val="24"/>
          <w:lang w:val="en-GB"/>
        </w:rPr>
        <w:t>Figure 1-Official Gazette dated27/11/2018 with the number 30608</w:t>
      </w:r>
    </w:p>
    <w:p w:rsidR="00E847A6" w:rsidRPr="00AE3975" w:rsidRDefault="00A92F4F" w:rsidP="00BE6FE1">
      <w:pPr>
        <w:pStyle w:val="Gvdemetni20"/>
        <w:shd w:val="clear" w:color="auto" w:fill="auto"/>
        <w:spacing w:before="120" w:after="120" w:line="360" w:lineRule="auto"/>
        <w:ind w:firstLine="0"/>
        <w:rPr>
          <w:sz w:val="24"/>
          <w:szCs w:val="24"/>
          <w:lang w:val="en-GB"/>
        </w:rPr>
      </w:pPr>
      <w:r w:rsidRPr="00AE3975">
        <w:rPr>
          <w:sz w:val="24"/>
          <w:szCs w:val="24"/>
          <w:lang w:val="en-GB"/>
        </w:rPr>
        <w:t xml:space="preserve">Upon publication of the decision in the Official Gazette, X Bank, located in Turkey, froze the account of Abu </w:t>
      </w:r>
      <w:proofErr w:type="spellStart"/>
      <w:r w:rsidRPr="00AE3975">
        <w:rPr>
          <w:sz w:val="24"/>
          <w:szCs w:val="24"/>
          <w:lang w:val="en-GB"/>
        </w:rPr>
        <w:t>Luqman</w:t>
      </w:r>
      <w:proofErr w:type="spellEnd"/>
      <w:r w:rsidRPr="00AE3975">
        <w:rPr>
          <w:sz w:val="24"/>
          <w:szCs w:val="24"/>
          <w:lang w:val="en-GB"/>
        </w:rPr>
        <w:t xml:space="preserve"> (DOB: 24/12/1978, Nationality: Country Y) in the branch Istanbul/ </w:t>
      </w:r>
      <w:proofErr w:type="spellStart"/>
      <w:r w:rsidRPr="00AE3975">
        <w:rPr>
          <w:sz w:val="24"/>
          <w:szCs w:val="24"/>
          <w:lang w:val="en-GB"/>
        </w:rPr>
        <w:t>Bağcılar</w:t>
      </w:r>
      <w:proofErr w:type="spellEnd"/>
      <w:r w:rsidRPr="00AE3975">
        <w:rPr>
          <w:sz w:val="24"/>
          <w:szCs w:val="24"/>
          <w:lang w:val="en-GB"/>
        </w:rPr>
        <w:t xml:space="preserve"> at the same date and reported to MASAK on 28/11/2018.</w:t>
      </w:r>
    </w:p>
    <w:p w:rsidR="00E847A6" w:rsidRPr="00AE3975" w:rsidRDefault="00A92F4F" w:rsidP="00BE6FE1">
      <w:pPr>
        <w:pStyle w:val="Gvdemetni20"/>
        <w:shd w:val="clear" w:color="auto" w:fill="auto"/>
        <w:spacing w:before="120" w:after="120" w:line="360" w:lineRule="auto"/>
        <w:ind w:firstLine="0"/>
        <w:rPr>
          <w:sz w:val="24"/>
          <w:szCs w:val="24"/>
          <w:lang w:val="en-GB"/>
        </w:rPr>
      </w:pPr>
      <w:r w:rsidRPr="00AE3975">
        <w:rPr>
          <w:sz w:val="24"/>
          <w:szCs w:val="24"/>
          <w:lang w:val="en-GB"/>
        </w:rPr>
        <w:t xml:space="preserve">The notification sent to the address of Abu </w:t>
      </w:r>
      <w:proofErr w:type="spellStart"/>
      <w:r w:rsidRPr="00AE3975">
        <w:rPr>
          <w:sz w:val="24"/>
          <w:szCs w:val="24"/>
          <w:lang w:val="en-GB"/>
        </w:rPr>
        <w:t>Luqman</w:t>
      </w:r>
      <w:proofErr w:type="spellEnd"/>
      <w:r w:rsidRPr="00AE3975">
        <w:rPr>
          <w:sz w:val="24"/>
          <w:szCs w:val="24"/>
          <w:lang w:val="en-GB"/>
        </w:rPr>
        <w:t>, in accordance with article 12 of the Regulation on the Procedures and Principles Regarding the Implementation of Law on the Prevention of the Financing of Terrorism, by MASAK on 28/11/2018 was reached and the person concerned learned that his bank account at the İstanbul/</w:t>
      </w:r>
      <w:proofErr w:type="spellStart"/>
      <w:r w:rsidRPr="00AE3975">
        <w:rPr>
          <w:sz w:val="24"/>
          <w:szCs w:val="24"/>
          <w:lang w:val="en-GB"/>
        </w:rPr>
        <w:t>Bağcılar</w:t>
      </w:r>
      <w:proofErr w:type="spellEnd"/>
      <w:r w:rsidRPr="00AE3975">
        <w:rPr>
          <w:sz w:val="24"/>
          <w:szCs w:val="24"/>
          <w:lang w:val="en-GB"/>
        </w:rPr>
        <w:t xml:space="preserve"> branch of Bank X was frozen on the same date.</w:t>
      </w:r>
    </w:p>
    <w:p w:rsidR="00E847A6" w:rsidRPr="00AE3975" w:rsidRDefault="00A92F4F" w:rsidP="00BE6FE1">
      <w:pPr>
        <w:pStyle w:val="Gvdemetni20"/>
        <w:shd w:val="clear" w:color="auto" w:fill="auto"/>
        <w:spacing w:before="120" w:after="120" w:line="360" w:lineRule="auto"/>
        <w:ind w:firstLine="0"/>
        <w:rPr>
          <w:sz w:val="24"/>
          <w:szCs w:val="24"/>
          <w:lang w:val="en-GB"/>
        </w:rPr>
      </w:pPr>
      <w:r w:rsidRPr="00AE3975">
        <w:rPr>
          <w:sz w:val="24"/>
          <w:szCs w:val="24"/>
          <w:lang w:val="en-GB"/>
        </w:rPr>
        <w:t xml:space="preserve">In the given example, it is seen that the date of birth, citizenship and current address information of Abu </w:t>
      </w:r>
      <w:proofErr w:type="spellStart"/>
      <w:r w:rsidRPr="00AE3975">
        <w:rPr>
          <w:sz w:val="24"/>
          <w:szCs w:val="24"/>
          <w:lang w:val="en-GB"/>
        </w:rPr>
        <w:t>Luqman</w:t>
      </w:r>
      <w:proofErr w:type="spellEnd"/>
      <w:r w:rsidRPr="00AE3975">
        <w:rPr>
          <w:sz w:val="24"/>
          <w:szCs w:val="24"/>
          <w:lang w:val="en-GB"/>
        </w:rPr>
        <w:t xml:space="preserve"> is different from the person who is included in the Official Gazette dated 27/11/2018 - 30608 and whom the freezing decision is wanted to be applied. In this context, it is required to </w:t>
      </w:r>
      <w:proofErr w:type="spellStart"/>
      <w:r w:rsidRPr="00AE3975">
        <w:rPr>
          <w:sz w:val="24"/>
          <w:szCs w:val="24"/>
          <w:lang w:val="en-GB"/>
        </w:rPr>
        <w:t>sent</w:t>
      </w:r>
      <w:proofErr w:type="spellEnd"/>
      <w:r w:rsidRPr="00AE3975">
        <w:rPr>
          <w:sz w:val="24"/>
          <w:szCs w:val="24"/>
          <w:lang w:val="en-GB"/>
        </w:rPr>
        <w:t xml:space="preserve"> the sample petition in Annex-1 by filling in and adding a copy of the passport, ID card and/or other related information and documents to the address “Ministry of Treasury and Finance, MASAK, A Block, Dikmen </w:t>
      </w:r>
      <w:proofErr w:type="spellStart"/>
      <w:r w:rsidRPr="00AE3975">
        <w:rPr>
          <w:sz w:val="24"/>
          <w:szCs w:val="24"/>
          <w:lang w:val="en-GB"/>
        </w:rPr>
        <w:t>Caddesi</w:t>
      </w:r>
      <w:proofErr w:type="spellEnd"/>
      <w:r w:rsidRPr="00AE3975">
        <w:rPr>
          <w:sz w:val="24"/>
          <w:szCs w:val="24"/>
          <w:lang w:val="en-GB"/>
        </w:rPr>
        <w:t xml:space="preserve">, Dikmen , </w:t>
      </w:r>
      <w:proofErr w:type="spellStart"/>
      <w:r w:rsidRPr="00AE3975">
        <w:rPr>
          <w:sz w:val="24"/>
          <w:szCs w:val="24"/>
          <w:lang w:val="en-GB"/>
        </w:rPr>
        <w:t>Çankaya</w:t>
      </w:r>
      <w:proofErr w:type="spellEnd"/>
      <w:r w:rsidRPr="00AE3975">
        <w:rPr>
          <w:sz w:val="24"/>
          <w:szCs w:val="24"/>
          <w:lang w:val="en-GB"/>
        </w:rPr>
        <w:t>/ANKARA” by mail.</w:t>
      </w:r>
    </w:p>
    <w:p w:rsidR="00E847A6" w:rsidRPr="00AE3975" w:rsidRDefault="00A92F4F" w:rsidP="00BE6FE1">
      <w:pPr>
        <w:pStyle w:val="Gvdemetni20"/>
        <w:shd w:val="clear" w:color="auto" w:fill="auto"/>
        <w:spacing w:before="120" w:after="120" w:line="360" w:lineRule="auto"/>
        <w:ind w:firstLine="0"/>
        <w:rPr>
          <w:sz w:val="24"/>
          <w:szCs w:val="24"/>
          <w:lang w:val="en-GB"/>
        </w:rPr>
        <w:sectPr w:rsidR="00E847A6" w:rsidRPr="00AE3975">
          <w:pgSz w:w="11900" w:h="16840"/>
          <w:pgMar w:top="1637" w:right="1359" w:bottom="1637" w:left="1354" w:header="0" w:footer="3" w:gutter="0"/>
          <w:cols w:space="720"/>
          <w:noEndnote/>
          <w:docGrid w:linePitch="360"/>
        </w:sectPr>
      </w:pPr>
      <w:r w:rsidRPr="00AE3975">
        <w:rPr>
          <w:sz w:val="24"/>
          <w:szCs w:val="24"/>
          <w:lang w:val="en-GB"/>
        </w:rPr>
        <w:t xml:space="preserve">Within the framework of the information and documents presented and as a result of the study carried out by MASAK, it is determined that the relevant person (Abu </w:t>
      </w:r>
      <w:proofErr w:type="spellStart"/>
      <w:r w:rsidRPr="00AE3975">
        <w:rPr>
          <w:sz w:val="24"/>
          <w:szCs w:val="24"/>
          <w:lang w:val="en-GB"/>
        </w:rPr>
        <w:t>Luqman</w:t>
      </w:r>
      <w:proofErr w:type="spellEnd"/>
      <w:r w:rsidRPr="00AE3975">
        <w:rPr>
          <w:sz w:val="24"/>
          <w:szCs w:val="24"/>
          <w:lang w:val="en-GB"/>
        </w:rPr>
        <w:t>) is not the targeted person and there is only a name similarity. The processes for unfreezing of assets shall be implemented by MASAK without any delay by sending an article both to the party implemented the freezing decision and to the other relevant third parties.</w:t>
      </w:r>
    </w:p>
    <w:p w:rsidR="00E847A6" w:rsidRPr="00AE3975" w:rsidRDefault="00A92F4F" w:rsidP="00805B51">
      <w:pPr>
        <w:pStyle w:val="Balk20"/>
        <w:keepNext/>
        <w:keepLines/>
        <w:shd w:val="clear" w:color="auto" w:fill="auto"/>
        <w:spacing w:before="0" w:after="1032" w:line="288" w:lineRule="exact"/>
        <w:ind w:left="40"/>
        <w:jc w:val="left"/>
        <w:rPr>
          <w:sz w:val="24"/>
          <w:szCs w:val="24"/>
          <w:lang w:val="en-GB"/>
        </w:rPr>
      </w:pPr>
      <w:bookmarkStart w:id="8" w:name="bookmark8"/>
      <w:bookmarkStart w:id="9" w:name="bookmark9"/>
      <w:r w:rsidRPr="00AE3975">
        <w:rPr>
          <w:sz w:val="24"/>
          <w:szCs w:val="24"/>
          <w:lang w:val="en-GB"/>
        </w:rPr>
        <w:t>ANNEX-1</w:t>
      </w:r>
      <w:r w:rsidRPr="00AE3975">
        <w:rPr>
          <w:sz w:val="24"/>
          <w:szCs w:val="24"/>
          <w:lang w:val="en-GB"/>
        </w:rPr>
        <w:br/>
        <w:t>Sample Petition</w:t>
      </w:r>
      <w:bookmarkEnd w:id="8"/>
      <w:bookmarkEnd w:id="9"/>
    </w:p>
    <w:p w:rsidR="00E847A6" w:rsidRPr="007A7236" w:rsidRDefault="00A92F4F">
      <w:pPr>
        <w:pStyle w:val="Gvdemetni20"/>
        <w:shd w:val="clear" w:color="auto" w:fill="auto"/>
        <w:spacing w:line="274" w:lineRule="exact"/>
        <w:ind w:firstLine="0"/>
        <w:jc w:val="center"/>
        <w:rPr>
          <w:b/>
          <w:sz w:val="24"/>
          <w:szCs w:val="24"/>
          <w:lang w:val="en-GB"/>
        </w:rPr>
      </w:pPr>
      <w:r w:rsidRPr="007A7236">
        <w:rPr>
          <w:b/>
          <w:sz w:val="24"/>
          <w:szCs w:val="24"/>
          <w:lang w:val="en-GB"/>
        </w:rPr>
        <w:t>THE REPUBLIC OF TURKEY</w:t>
      </w:r>
      <w:r w:rsidRPr="007A7236">
        <w:rPr>
          <w:b/>
          <w:sz w:val="24"/>
          <w:szCs w:val="24"/>
          <w:lang w:val="en-GB"/>
        </w:rPr>
        <w:br/>
        <w:t>MINISTRY OF TREASURY AND FINACE</w:t>
      </w:r>
      <w:r w:rsidRPr="007A7236">
        <w:rPr>
          <w:b/>
          <w:sz w:val="24"/>
          <w:szCs w:val="24"/>
          <w:lang w:val="en-GB"/>
        </w:rPr>
        <w:br/>
        <w:t>MASAK</w:t>
      </w:r>
    </w:p>
    <w:p w:rsidR="007A7236" w:rsidRPr="00AE3975" w:rsidRDefault="007A7236">
      <w:pPr>
        <w:pStyle w:val="Gvdemetni20"/>
        <w:shd w:val="clear" w:color="auto" w:fill="auto"/>
        <w:spacing w:line="274" w:lineRule="exact"/>
        <w:ind w:firstLine="0"/>
        <w:jc w:val="center"/>
        <w:rPr>
          <w:sz w:val="24"/>
          <w:szCs w:val="24"/>
          <w:lang w:val="en-GB"/>
        </w:rPr>
      </w:pPr>
    </w:p>
    <w:p w:rsidR="00E847A6" w:rsidRDefault="00A92F4F" w:rsidP="0085686E">
      <w:pPr>
        <w:pStyle w:val="Gvdemetni20"/>
        <w:shd w:val="clear" w:color="auto" w:fill="auto"/>
        <w:tabs>
          <w:tab w:val="left" w:leader="dot" w:pos="8843"/>
        </w:tabs>
        <w:spacing w:line="274" w:lineRule="exact"/>
        <w:ind w:firstLine="0"/>
        <w:rPr>
          <w:sz w:val="24"/>
          <w:szCs w:val="24"/>
          <w:lang w:val="en-GB"/>
        </w:rPr>
      </w:pPr>
      <w:r w:rsidRPr="00AE3975">
        <w:rPr>
          <w:sz w:val="24"/>
          <w:szCs w:val="24"/>
          <w:lang w:val="en-GB"/>
        </w:rPr>
        <w:t xml:space="preserve">With the </w:t>
      </w:r>
      <w:r w:rsidR="00B96192">
        <w:rPr>
          <w:sz w:val="24"/>
          <w:szCs w:val="24"/>
          <w:lang w:val="en-GB"/>
        </w:rPr>
        <w:t>decision</w:t>
      </w:r>
      <w:r w:rsidRPr="00AE3975">
        <w:rPr>
          <w:sz w:val="24"/>
          <w:szCs w:val="24"/>
          <w:lang w:val="en-GB"/>
        </w:rPr>
        <w:t xml:space="preserve"> published in the Official Gazette dated</w:t>
      </w:r>
      <w:r w:rsidR="005A1A8D">
        <w:rPr>
          <w:sz w:val="24"/>
          <w:szCs w:val="24"/>
          <w:lang w:val="en-GB"/>
        </w:rPr>
        <w:t>………..</w:t>
      </w:r>
      <w:r w:rsidRPr="00AE3975">
        <w:rPr>
          <w:sz w:val="24"/>
          <w:szCs w:val="24"/>
          <w:lang w:val="en-GB"/>
        </w:rPr>
        <w:t>and</w:t>
      </w:r>
      <w:r w:rsidR="005A1A8D">
        <w:rPr>
          <w:sz w:val="24"/>
          <w:szCs w:val="24"/>
          <w:lang w:val="en-GB"/>
        </w:rPr>
        <w:t xml:space="preserve"> numbered……………</w:t>
      </w:r>
      <w:r w:rsidR="0085686E">
        <w:rPr>
          <w:sz w:val="24"/>
          <w:szCs w:val="24"/>
          <w:lang w:val="en-GB"/>
        </w:rPr>
        <w:t xml:space="preserve">*, </w:t>
      </w:r>
      <w:r w:rsidRPr="00AE3975">
        <w:rPr>
          <w:sz w:val="24"/>
          <w:szCs w:val="24"/>
          <w:lang w:val="en-GB"/>
        </w:rPr>
        <w:t>the assets of person/institution/organization named*</w:t>
      </w:r>
      <w:r w:rsidRPr="00AE3975">
        <w:rPr>
          <w:sz w:val="24"/>
          <w:szCs w:val="24"/>
          <w:lang w:val="en-GB"/>
        </w:rPr>
        <w:tab/>
        <w:t>were</w:t>
      </w:r>
      <w:r w:rsidR="0085686E">
        <w:rPr>
          <w:sz w:val="24"/>
          <w:szCs w:val="24"/>
          <w:lang w:val="en-GB"/>
        </w:rPr>
        <w:t xml:space="preserve"> </w:t>
      </w:r>
      <w:r w:rsidRPr="00AE3975">
        <w:rPr>
          <w:sz w:val="24"/>
          <w:szCs w:val="24"/>
          <w:lang w:val="en-GB"/>
        </w:rPr>
        <w:t>frozen in accordance with Law No.6415</w:t>
      </w:r>
      <w:r w:rsidR="00B26016">
        <w:rPr>
          <w:sz w:val="24"/>
          <w:szCs w:val="24"/>
          <w:lang w:val="en-GB"/>
        </w:rPr>
        <w:t xml:space="preserve">/ </w:t>
      </w:r>
      <w:r w:rsidR="005A6955">
        <w:rPr>
          <w:sz w:val="24"/>
          <w:szCs w:val="24"/>
          <w:lang w:val="en-GB"/>
        </w:rPr>
        <w:t xml:space="preserve">7262 </w:t>
      </w:r>
      <w:r w:rsidRPr="00AE3975">
        <w:rPr>
          <w:sz w:val="24"/>
          <w:szCs w:val="24"/>
          <w:lang w:val="en-GB"/>
        </w:rPr>
        <w:t>and applied by</w:t>
      </w:r>
      <w:r w:rsidRPr="00AE3975">
        <w:rPr>
          <w:sz w:val="24"/>
          <w:szCs w:val="24"/>
          <w:lang w:val="en-GB"/>
        </w:rPr>
        <w:tab/>
        <w:t>** to me</w:t>
      </w:r>
      <w:r w:rsidR="0085686E">
        <w:rPr>
          <w:sz w:val="24"/>
          <w:szCs w:val="24"/>
          <w:lang w:val="en-GB"/>
        </w:rPr>
        <w:t xml:space="preserve"> </w:t>
      </w:r>
      <w:r w:rsidRPr="00AE3975">
        <w:rPr>
          <w:sz w:val="24"/>
          <w:szCs w:val="24"/>
          <w:lang w:val="en-GB"/>
        </w:rPr>
        <w:t>erroneously due to name resemblance, incorrect or deficient identity information and similar reasons.</w:t>
      </w:r>
    </w:p>
    <w:p w:rsidR="0085686E" w:rsidRPr="00AE3975" w:rsidRDefault="0085686E" w:rsidP="0085686E">
      <w:pPr>
        <w:pStyle w:val="Gvdemetni20"/>
        <w:shd w:val="clear" w:color="auto" w:fill="auto"/>
        <w:tabs>
          <w:tab w:val="left" w:leader="dot" w:pos="8843"/>
        </w:tabs>
        <w:spacing w:line="274" w:lineRule="exact"/>
        <w:ind w:firstLine="0"/>
        <w:rPr>
          <w:sz w:val="24"/>
          <w:szCs w:val="24"/>
          <w:lang w:val="en-GB"/>
        </w:rPr>
      </w:pPr>
    </w:p>
    <w:p w:rsidR="00E847A6" w:rsidRPr="00AE3975" w:rsidRDefault="00A92F4F" w:rsidP="0085686E">
      <w:pPr>
        <w:pStyle w:val="Gvdemetni20"/>
        <w:shd w:val="clear" w:color="auto" w:fill="auto"/>
        <w:spacing w:after="236" w:line="244" w:lineRule="exact"/>
        <w:ind w:firstLine="0"/>
        <w:rPr>
          <w:sz w:val="24"/>
          <w:szCs w:val="24"/>
          <w:lang w:val="en-GB"/>
        </w:rPr>
      </w:pPr>
      <w:r w:rsidRPr="00AE3975">
        <w:rPr>
          <w:sz w:val="24"/>
          <w:szCs w:val="24"/>
          <w:lang w:val="en-GB"/>
        </w:rPr>
        <w:t>As understood from the annexed document and information, due to the reasons</w:t>
      </w:r>
      <w:r w:rsidR="00544074">
        <w:rPr>
          <w:sz w:val="24"/>
          <w:szCs w:val="24"/>
          <w:lang w:val="en-GB"/>
        </w:rPr>
        <w:t xml:space="preserve">*** </w:t>
      </w:r>
      <w:r w:rsidR="00811644">
        <w:rPr>
          <w:sz w:val="24"/>
          <w:szCs w:val="24"/>
          <w:lang w:val="en-GB"/>
        </w:rPr>
        <w:t>………………………………………</w:t>
      </w:r>
      <w:r w:rsidRPr="00AE3975">
        <w:rPr>
          <w:sz w:val="24"/>
          <w:szCs w:val="24"/>
          <w:lang w:val="en-GB"/>
        </w:rPr>
        <w:t xml:space="preserve"> the freezing transaction was erroneously made and applied to a third party different from the targeted person in the relevant decision.</w:t>
      </w:r>
    </w:p>
    <w:p w:rsidR="00E847A6" w:rsidRPr="00AE3975" w:rsidRDefault="00A92F4F" w:rsidP="0085686E">
      <w:pPr>
        <w:pStyle w:val="Gvdemetni20"/>
        <w:shd w:val="clear" w:color="auto" w:fill="auto"/>
        <w:spacing w:line="274" w:lineRule="exact"/>
        <w:ind w:firstLine="0"/>
        <w:rPr>
          <w:sz w:val="24"/>
          <w:szCs w:val="24"/>
          <w:lang w:val="en-GB"/>
        </w:rPr>
      </w:pPr>
      <w:r w:rsidRPr="00AE3975">
        <w:rPr>
          <w:sz w:val="24"/>
          <w:szCs w:val="24"/>
          <w:lang w:val="en-GB"/>
        </w:rPr>
        <w:t xml:space="preserve">Within this framework, I request that the freezing </w:t>
      </w:r>
      <w:r w:rsidR="0085686E" w:rsidRPr="00AE3975">
        <w:rPr>
          <w:sz w:val="24"/>
          <w:szCs w:val="24"/>
          <w:lang w:val="en-GB"/>
        </w:rPr>
        <w:t>transaction, which was foreseen to be applied to the assets of the person by the decision,</w:t>
      </w:r>
      <w:r w:rsidRPr="00AE3975">
        <w:rPr>
          <w:sz w:val="24"/>
          <w:szCs w:val="24"/>
          <w:lang w:val="en-GB"/>
        </w:rPr>
        <w:t xml:space="preserve"> published in the Official Gazette dated </w:t>
      </w:r>
      <w:r w:rsidRPr="00AE3975">
        <w:rPr>
          <w:sz w:val="24"/>
          <w:szCs w:val="24"/>
          <w:lang w:val="en-GB"/>
        </w:rPr>
        <w:tab/>
        <w:t>and</w:t>
      </w:r>
      <w:r w:rsidR="0085686E">
        <w:rPr>
          <w:sz w:val="24"/>
          <w:szCs w:val="24"/>
          <w:lang w:val="en-GB"/>
        </w:rPr>
        <w:t xml:space="preserve"> numbered, but</w:t>
      </w:r>
      <w:r w:rsidRPr="00AE3975">
        <w:rPr>
          <w:sz w:val="24"/>
          <w:szCs w:val="24"/>
          <w:lang w:val="en-GB"/>
        </w:rPr>
        <w:t xml:space="preserve"> erroneously applied to me being repealed.</w:t>
      </w:r>
    </w:p>
    <w:p w:rsidR="00E847A6" w:rsidRPr="00AE3975" w:rsidRDefault="00A92F4F" w:rsidP="0085686E">
      <w:pPr>
        <w:pStyle w:val="Gvdemetni20"/>
        <w:shd w:val="clear" w:color="auto" w:fill="auto"/>
        <w:spacing w:line="523" w:lineRule="exact"/>
        <w:ind w:firstLine="0"/>
        <w:rPr>
          <w:sz w:val="24"/>
          <w:szCs w:val="24"/>
          <w:lang w:val="en-GB"/>
        </w:rPr>
      </w:pPr>
      <w:r w:rsidRPr="00AE3975">
        <w:rPr>
          <w:sz w:val="24"/>
          <w:szCs w:val="24"/>
          <w:lang w:val="en-GB"/>
        </w:rPr>
        <w:t>Kindly submitted for information and necessary actions. (..../.. ../20</w:t>
      </w:r>
      <w:r w:rsidR="002F3C93">
        <w:rPr>
          <w:sz w:val="24"/>
          <w:szCs w:val="24"/>
          <w:lang w:val="en-GB"/>
        </w:rPr>
        <w:t>20</w:t>
      </w:r>
      <w:r w:rsidRPr="00AE3975">
        <w:rPr>
          <w:sz w:val="24"/>
          <w:szCs w:val="24"/>
          <w:lang w:val="en-GB"/>
        </w:rPr>
        <w:t>)</w:t>
      </w:r>
    </w:p>
    <w:p w:rsidR="00E847A6" w:rsidRPr="002F3C93" w:rsidRDefault="00A92F4F">
      <w:pPr>
        <w:pStyle w:val="Gvdemetni20"/>
        <w:shd w:val="clear" w:color="auto" w:fill="auto"/>
        <w:spacing w:line="523" w:lineRule="exact"/>
        <w:ind w:left="5780" w:firstLine="0"/>
        <w:jc w:val="left"/>
        <w:rPr>
          <w:b/>
          <w:sz w:val="24"/>
          <w:szCs w:val="24"/>
          <w:lang w:val="en-GB"/>
        </w:rPr>
      </w:pPr>
      <w:r w:rsidRPr="002F3C93">
        <w:rPr>
          <w:b/>
          <w:sz w:val="24"/>
          <w:szCs w:val="24"/>
          <w:lang w:val="en-GB"/>
        </w:rPr>
        <w:t>Name/Surname</w:t>
      </w:r>
    </w:p>
    <w:p w:rsidR="00E847A6" w:rsidRPr="002F3C93" w:rsidRDefault="00A92F4F">
      <w:pPr>
        <w:pStyle w:val="Gvdemetni20"/>
        <w:shd w:val="clear" w:color="auto" w:fill="auto"/>
        <w:spacing w:line="523" w:lineRule="exact"/>
        <w:ind w:left="6160" w:firstLine="0"/>
        <w:jc w:val="left"/>
        <w:rPr>
          <w:b/>
          <w:sz w:val="24"/>
          <w:szCs w:val="24"/>
          <w:lang w:val="en-GB"/>
        </w:rPr>
      </w:pPr>
      <w:r w:rsidRPr="002F3C93">
        <w:rPr>
          <w:b/>
          <w:sz w:val="24"/>
          <w:szCs w:val="24"/>
          <w:lang w:val="en-GB"/>
        </w:rPr>
        <w:t>Signature</w:t>
      </w:r>
    </w:p>
    <w:p w:rsidR="00E847A6" w:rsidRPr="00AE3975" w:rsidRDefault="00A92F4F">
      <w:pPr>
        <w:pStyle w:val="Balk20"/>
        <w:keepNext/>
        <w:keepLines/>
        <w:shd w:val="clear" w:color="auto" w:fill="auto"/>
        <w:spacing w:before="0" w:after="168"/>
        <w:rPr>
          <w:sz w:val="24"/>
          <w:szCs w:val="24"/>
          <w:lang w:val="en-GB"/>
        </w:rPr>
      </w:pPr>
      <w:bookmarkStart w:id="10" w:name="bookmark10"/>
      <w:r w:rsidRPr="00AE3975">
        <w:rPr>
          <w:rStyle w:val="Balk21"/>
          <w:b/>
          <w:bCs/>
          <w:sz w:val="24"/>
          <w:szCs w:val="24"/>
          <w:lang w:val="en-GB"/>
        </w:rPr>
        <w:t>ANNEXES:</w:t>
      </w:r>
      <w:bookmarkEnd w:id="10"/>
    </w:p>
    <w:p w:rsidR="00E847A6" w:rsidRPr="00AE3975" w:rsidRDefault="00A92F4F">
      <w:pPr>
        <w:pStyle w:val="Gvdemetni20"/>
        <w:shd w:val="clear" w:color="auto" w:fill="auto"/>
        <w:tabs>
          <w:tab w:val="left" w:leader="dot" w:pos="742"/>
        </w:tabs>
        <w:spacing w:after="260" w:line="244" w:lineRule="exact"/>
        <w:ind w:firstLine="0"/>
        <w:rPr>
          <w:sz w:val="24"/>
          <w:szCs w:val="24"/>
          <w:lang w:val="en-GB"/>
        </w:rPr>
      </w:pPr>
      <w:r w:rsidRPr="00AE3975">
        <w:rPr>
          <w:sz w:val="24"/>
          <w:szCs w:val="24"/>
          <w:lang w:val="en-GB"/>
        </w:rPr>
        <w:t xml:space="preserve">1- </w:t>
      </w:r>
      <w:r w:rsidRPr="00AE3975">
        <w:rPr>
          <w:sz w:val="24"/>
          <w:szCs w:val="24"/>
          <w:lang w:val="en-GB"/>
        </w:rPr>
        <w:tab/>
      </w:r>
    </w:p>
    <w:p w:rsidR="00BE6FE1" w:rsidRDefault="00A92F4F">
      <w:pPr>
        <w:pStyle w:val="Gvdemetni20"/>
        <w:shd w:val="clear" w:color="auto" w:fill="auto"/>
        <w:tabs>
          <w:tab w:val="left" w:leader="dot" w:pos="742"/>
        </w:tabs>
        <w:spacing w:after="334" w:line="244" w:lineRule="exact"/>
        <w:ind w:firstLine="0"/>
        <w:rPr>
          <w:sz w:val="24"/>
          <w:szCs w:val="24"/>
          <w:lang w:val="en-GB"/>
        </w:rPr>
      </w:pPr>
      <w:r w:rsidRPr="00AE3975">
        <w:rPr>
          <w:sz w:val="24"/>
          <w:szCs w:val="24"/>
          <w:lang w:val="en-GB"/>
        </w:rPr>
        <w:t xml:space="preserve">2- </w:t>
      </w:r>
      <w:r w:rsidRPr="00AE3975">
        <w:rPr>
          <w:sz w:val="24"/>
          <w:szCs w:val="24"/>
          <w:lang w:val="en-GB"/>
        </w:rPr>
        <w:tab/>
        <w:t xml:space="preserve"> </w:t>
      </w:r>
    </w:p>
    <w:p w:rsidR="00BE6FE1" w:rsidRDefault="00BE6FE1">
      <w:pPr>
        <w:pStyle w:val="Gvdemetni20"/>
        <w:shd w:val="clear" w:color="auto" w:fill="auto"/>
        <w:tabs>
          <w:tab w:val="left" w:leader="dot" w:pos="742"/>
        </w:tabs>
        <w:spacing w:after="334" w:line="244" w:lineRule="exact"/>
        <w:ind w:firstLine="0"/>
        <w:rPr>
          <w:sz w:val="24"/>
          <w:szCs w:val="24"/>
          <w:lang w:val="en-GB"/>
        </w:rPr>
      </w:pPr>
    </w:p>
    <w:p w:rsidR="00E847A6" w:rsidRPr="00AE3975" w:rsidRDefault="00A92F4F">
      <w:pPr>
        <w:pStyle w:val="Gvdemetni20"/>
        <w:shd w:val="clear" w:color="auto" w:fill="auto"/>
        <w:tabs>
          <w:tab w:val="left" w:leader="dot" w:pos="742"/>
        </w:tabs>
        <w:spacing w:after="334" w:line="244" w:lineRule="exact"/>
        <w:ind w:firstLine="0"/>
        <w:rPr>
          <w:sz w:val="24"/>
          <w:szCs w:val="24"/>
          <w:lang w:val="en-GB"/>
        </w:rPr>
      </w:pPr>
      <w:r w:rsidRPr="00AE3975">
        <w:rPr>
          <w:sz w:val="24"/>
          <w:szCs w:val="24"/>
          <w:lang w:val="en-GB"/>
        </w:rPr>
        <w:t>* The name or the title of the person/institution/organization shall be written.</w:t>
      </w:r>
    </w:p>
    <w:p w:rsidR="00E847A6" w:rsidRDefault="00A92F4F">
      <w:pPr>
        <w:pStyle w:val="Gvdemetni20"/>
        <w:shd w:val="clear" w:color="auto" w:fill="auto"/>
        <w:spacing w:line="451" w:lineRule="exact"/>
        <w:ind w:right="920" w:firstLine="0"/>
        <w:jc w:val="left"/>
        <w:rPr>
          <w:sz w:val="24"/>
          <w:szCs w:val="24"/>
          <w:lang w:val="en-GB"/>
        </w:rPr>
      </w:pPr>
      <w:r w:rsidRPr="00AE3975">
        <w:rPr>
          <w:sz w:val="24"/>
          <w:szCs w:val="24"/>
          <w:lang w:val="en-GB"/>
        </w:rPr>
        <w:t>** The name and contact details of the party that applies the freezing decision shall be written.</w:t>
      </w:r>
    </w:p>
    <w:p w:rsidR="00544074" w:rsidRPr="00AE3975" w:rsidRDefault="00544074">
      <w:pPr>
        <w:pStyle w:val="Gvdemetni20"/>
        <w:shd w:val="clear" w:color="auto" w:fill="auto"/>
        <w:spacing w:line="451" w:lineRule="exact"/>
        <w:ind w:right="920" w:firstLine="0"/>
        <w:jc w:val="left"/>
        <w:rPr>
          <w:sz w:val="24"/>
          <w:szCs w:val="24"/>
          <w:lang w:val="en-GB"/>
        </w:rPr>
      </w:pPr>
      <w:r>
        <w:rPr>
          <w:sz w:val="24"/>
          <w:szCs w:val="24"/>
          <w:lang w:val="en-GB"/>
        </w:rPr>
        <w:t xml:space="preserve">*** </w:t>
      </w:r>
      <w:proofErr w:type="spellStart"/>
      <w:r>
        <w:t>Descriptions</w:t>
      </w:r>
      <w:proofErr w:type="spellEnd"/>
      <w:r>
        <w:t xml:space="preserve"> of </w:t>
      </w:r>
      <w:proofErr w:type="spellStart"/>
      <w:r>
        <w:t>why</w:t>
      </w:r>
      <w:proofErr w:type="spellEnd"/>
      <w:r>
        <w:t xml:space="preserve"> </w:t>
      </w:r>
      <w:proofErr w:type="spellStart"/>
      <w:r>
        <w:t>the</w:t>
      </w:r>
      <w:proofErr w:type="spellEnd"/>
      <w:r>
        <w:t xml:space="preserve"> </w:t>
      </w:r>
      <w:proofErr w:type="spellStart"/>
      <w:r>
        <w:t>freezing</w:t>
      </w:r>
      <w:proofErr w:type="spellEnd"/>
      <w:r>
        <w:t xml:space="preserve"> </w:t>
      </w:r>
      <w:proofErr w:type="spellStart"/>
      <w:r>
        <w:t>decision</w:t>
      </w:r>
      <w:proofErr w:type="spellEnd"/>
      <w:r>
        <w:t xml:space="preserve"> is </w:t>
      </w:r>
      <w:proofErr w:type="spellStart"/>
      <w:r>
        <w:t>erroneous</w:t>
      </w:r>
      <w:proofErr w:type="spellEnd"/>
      <w:r>
        <w:t xml:space="preserve"> </w:t>
      </w:r>
      <w:proofErr w:type="spellStart"/>
      <w:r>
        <w:t>shall</w:t>
      </w:r>
      <w:proofErr w:type="spellEnd"/>
      <w:r>
        <w:t xml:space="preserve"> be </w:t>
      </w:r>
      <w:proofErr w:type="spellStart"/>
      <w:r>
        <w:t>written</w:t>
      </w:r>
      <w:proofErr w:type="spellEnd"/>
      <w:r>
        <w:t>.</w:t>
      </w:r>
    </w:p>
    <w:sectPr w:rsidR="00544074" w:rsidRPr="00AE3975">
      <w:pgSz w:w="11900" w:h="16840"/>
      <w:pgMar w:top="1920" w:right="1210" w:bottom="1920" w:left="13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BC7" w:rsidRDefault="00441BC7">
      <w:r>
        <w:separator/>
      </w:r>
    </w:p>
  </w:endnote>
  <w:endnote w:type="continuationSeparator" w:id="0">
    <w:p w:rsidR="00441BC7" w:rsidRDefault="0044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88" w:rsidRDefault="00377D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88" w:rsidRDefault="00377D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88" w:rsidRDefault="00377D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BC7" w:rsidRDefault="00441BC7">
      <w:r>
        <w:separator/>
      </w:r>
    </w:p>
  </w:footnote>
  <w:footnote w:type="continuationSeparator" w:id="0">
    <w:p w:rsidR="00441BC7" w:rsidRDefault="0044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88" w:rsidRDefault="00377D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60F" w:rsidRDefault="0065560F">
    <w:pPr>
      <w:pStyle w:val="stBilgi"/>
    </w:pPr>
  </w:p>
  <w:p w:rsidR="007D7375" w:rsidRDefault="007D7375" w:rsidP="0065560F">
    <w:pPr>
      <w:pStyle w:val="stBilgi"/>
      <w:tabs>
        <w:tab w:val="left" w:pos="0"/>
      </w:tabs>
      <w:ind w:left="-2835"/>
      <w:jc w:val="both"/>
      <w:rPr>
        <w:rFonts w:asciiTheme="minorHAnsi" w:hAnsiTheme="minorHAnsi" w:cstheme="minorHAnsi"/>
      </w:rPr>
    </w:pPr>
  </w:p>
  <w:p w:rsidR="0065560F" w:rsidRPr="00377D88" w:rsidRDefault="0065560F" w:rsidP="0065560F">
    <w:pPr>
      <w:pStyle w:val="stBilgi"/>
      <w:tabs>
        <w:tab w:val="left" w:pos="0"/>
      </w:tabs>
      <w:ind w:left="-2835"/>
      <w:jc w:val="both"/>
      <w:rPr>
        <w:rFonts w:asciiTheme="minorHAnsi" w:hAnsiTheme="minorHAnsi" w:cstheme="minorHAnsi"/>
      </w:rPr>
    </w:pPr>
    <w:r w:rsidRPr="00377D88">
      <w:rPr>
        <w:rFonts w:asciiTheme="minorHAnsi" w:hAnsiTheme="minorHAnsi" w:cstheme="minorHAnsi"/>
      </w:rPr>
      <w:t>Annex_5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88" w:rsidRDefault="00377D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73F6"/>
    <w:multiLevelType w:val="multilevel"/>
    <w:tmpl w:val="053AF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A6"/>
    <w:rsid w:val="00297B09"/>
    <w:rsid w:val="002F3C93"/>
    <w:rsid w:val="00377D88"/>
    <w:rsid w:val="00441BC7"/>
    <w:rsid w:val="004B191B"/>
    <w:rsid w:val="00544074"/>
    <w:rsid w:val="005A1A8D"/>
    <w:rsid w:val="005A6955"/>
    <w:rsid w:val="00641F61"/>
    <w:rsid w:val="0065560F"/>
    <w:rsid w:val="006C1003"/>
    <w:rsid w:val="007A7236"/>
    <w:rsid w:val="007D7375"/>
    <w:rsid w:val="00805B51"/>
    <w:rsid w:val="00811644"/>
    <w:rsid w:val="0085686E"/>
    <w:rsid w:val="00A04F65"/>
    <w:rsid w:val="00A92F4F"/>
    <w:rsid w:val="00AE3975"/>
    <w:rsid w:val="00B26016"/>
    <w:rsid w:val="00B96192"/>
    <w:rsid w:val="00BE6FE1"/>
    <w:rsid w:val="00D96C3E"/>
    <w:rsid w:val="00E615B1"/>
    <w:rsid w:val="00E847A6"/>
    <w:rsid w:val="00EB422B"/>
    <w:rsid w:val="00F026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20D2532-9F0D-4290-A160-C0AC3A8F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22"/>
      <w:szCs w:val="22"/>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32"/>
      <w:szCs w:val="32"/>
      <w:u w:val="none"/>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40"/>
      <w:szCs w:val="4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Balk11">
    <w:name w:val="Başlık #1"/>
    <w:basedOn w:val="Balk1"/>
    <w:rPr>
      <w:rFonts w:ascii="Times New Roman" w:eastAsia="Times New Roman" w:hAnsi="Times New Roman" w:cs="Times New Roman"/>
      <w:b/>
      <w:bCs/>
      <w:i w:val="0"/>
      <w:iCs w:val="0"/>
      <w:smallCaps w:val="0"/>
      <w:strike w:val="0"/>
      <w:color w:val="000000"/>
      <w:spacing w:val="0"/>
      <w:w w:val="100"/>
      <w:position w:val="0"/>
      <w:sz w:val="28"/>
      <w:szCs w:val="28"/>
      <w:u w:val="single"/>
      <w:lang w:val="tr-TR" w:eastAsia="tr-TR" w:bidi="tr-TR"/>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2"/>
      <w:szCs w:val="22"/>
      <w:u w:val="none"/>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23"/>
      <w:szCs w:val="23"/>
      <w:u w:val="none"/>
    </w:rPr>
  </w:style>
  <w:style w:type="character" w:customStyle="1" w:styleId="Gvdemetni6">
    <w:name w:val="Gövde metni (6)_"/>
    <w:basedOn w:val="VarsaylanParagrafYazTipi"/>
    <w:link w:val="Gvdemetni60"/>
    <w:rPr>
      <w:rFonts w:ascii="Times New Roman" w:eastAsia="Times New Roman" w:hAnsi="Times New Roman" w:cs="Times New Roman"/>
      <w:b w:val="0"/>
      <w:bCs w:val="0"/>
      <w:i/>
      <w:iCs/>
      <w:smallCaps w:val="0"/>
      <w:strike w:val="0"/>
      <w:sz w:val="22"/>
      <w:szCs w:val="22"/>
      <w:u w:val="none"/>
    </w:rPr>
  </w:style>
  <w:style w:type="character" w:customStyle="1" w:styleId="Gvdemetni6talikdeil">
    <w:name w:val="Gövde metni (6) + İtalik değil"/>
    <w:basedOn w:val="Gvdemetni6"/>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6115ptKaln">
    <w:name w:val="Gövde metni (6) + 11;5 pt;Kalın"/>
    <w:basedOn w:val="Gvdemetni6"/>
    <w:rPr>
      <w:rFonts w:ascii="Times New Roman" w:eastAsia="Times New Roman" w:hAnsi="Times New Roman" w:cs="Times New Roman"/>
      <w:b/>
      <w:bCs/>
      <w:i/>
      <w:iCs/>
      <w:smallCaps w:val="0"/>
      <w:strike w:val="0"/>
      <w:color w:val="000000"/>
      <w:spacing w:val="0"/>
      <w:w w:val="100"/>
      <w:position w:val="0"/>
      <w:sz w:val="23"/>
      <w:szCs w:val="23"/>
      <w:u w:val="single"/>
      <w:lang w:val="tr-TR" w:eastAsia="tr-TR" w:bidi="tr-TR"/>
    </w:rPr>
  </w:style>
  <w:style w:type="character" w:customStyle="1" w:styleId="Gvdemetni6talikdeil0">
    <w:name w:val="Gövde metni (6) + İtalik değil"/>
    <w:basedOn w:val="Gvdemetni6"/>
    <w:rPr>
      <w:rFonts w:ascii="Times New Roman" w:eastAsia="Times New Roman" w:hAnsi="Times New Roman" w:cs="Times New Roman"/>
      <w:b w:val="0"/>
      <w:bCs w:val="0"/>
      <w:i/>
      <w:iCs/>
      <w:smallCaps w:val="0"/>
      <w:strike w:val="0"/>
      <w:color w:val="000000"/>
      <w:spacing w:val="0"/>
      <w:w w:val="100"/>
      <w:position w:val="0"/>
      <w:sz w:val="22"/>
      <w:szCs w:val="22"/>
      <w:u w:val="single"/>
      <w:lang w:val="tr-TR" w:eastAsia="tr-TR" w:bidi="tr-TR"/>
    </w:rPr>
  </w:style>
  <w:style w:type="character" w:customStyle="1" w:styleId="Gvdemetni61">
    <w:name w:val="Gövde metni (6)"/>
    <w:basedOn w:val="Gvdemetni6"/>
    <w:rPr>
      <w:rFonts w:ascii="Times New Roman" w:eastAsia="Times New Roman" w:hAnsi="Times New Roman" w:cs="Times New Roman"/>
      <w:b w:val="0"/>
      <w:bCs w:val="0"/>
      <w:i/>
      <w:iCs/>
      <w:smallCaps w:val="0"/>
      <w:strike w:val="0"/>
      <w:color w:val="000000"/>
      <w:spacing w:val="0"/>
      <w:w w:val="100"/>
      <w:position w:val="0"/>
      <w:sz w:val="22"/>
      <w:szCs w:val="22"/>
      <w:u w:val="single"/>
      <w:lang w:val="tr-TR" w:eastAsia="tr-TR" w:bidi="tr-TR"/>
    </w:rPr>
  </w:style>
  <w:style w:type="character" w:customStyle="1" w:styleId="Gvdemetni6115ptKaln0">
    <w:name w:val="Gövde metni (6) + 11;5 pt;Kalın"/>
    <w:basedOn w:val="Gvdemetni6"/>
    <w:rPr>
      <w:rFonts w:ascii="Times New Roman" w:eastAsia="Times New Roman" w:hAnsi="Times New Roman" w:cs="Times New Roman"/>
      <w:b/>
      <w:bCs/>
      <w:i/>
      <w:iCs/>
      <w:smallCaps w:val="0"/>
      <w:strike w:val="0"/>
      <w:color w:val="000000"/>
      <w:spacing w:val="0"/>
      <w:w w:val="100"/>
      <w:position w:val="0"/>
      <w:sz w:val="23"/>
      <w:szCs w:val="23"/>
      <w:u w:val="none"/>
      <w:lang w:val="tr-TR" w:eastAsia="tr-TR" w:bidi="tr-TR"/>
    </w:rPr>
  </w:style>
  <w:style w:type="character" w:customStyle="1" w:styleId="Gvdemetni7talikdeil">
    <w:name w:val="Gövde metni (7) + İtalik değil"/>
    <w:basedOn w:val="VarsaylanParagrafYazTipi"/>
    <w:rPr>
      <w:rFonts w:ascii="Times New Roman" w:eastAsia="Times New Roman" w:hAnsi="Times New Roman" w:cs="Times New Roman"/>
      <w:b/>
      <w:bCs/>
      <w:i w:val="0"/>
      <w:iCs w:val="0"/>
      <w:smallCaps w:val="0"/>
      <w:strike w:val="0"/>
      <w:sz w:val="23"/>
      <w:szCs w:val="23"/>
      <w:u w:val="none"/>
    </w:rPr>
  </w:style>
  <w:style w:type="character" w:customStyle="1" w:styleId="Gvdemetni7">
    <w:name w:val="Gövde metni (7)"/>
    <w:basedOn w:val="VarsaylanParagrafYazTipi"/>
    <w:rPr>
      <w:rFonts w:ascii="Times New Roman" w:eastAsia="Times New Roman" w:hAnsi="Times New Roman" w:cs="Times New Roman"/>
      <w:b/>
      <w:bCs/>
      <w:i/>
      <w:iCs/>
      <w:smallCaps w:val="0"/>
      <w:strike w:val="0"/>
      <w:sz w:val="23"/>
      <w:szCs w:val="23"/>
      <w:u w:val="none"/>
    </w:rPr>
  </w:style>
  <w:style w:type="character" w:customStyle="1" w:styleId="Gvdemetni6115ptKalntalikdeil">
    <w:name w:val="Gövde metni (6) + 11;5 pt;Kalın;İtalik değil"/>
    <w:basedOn w:val="Gvdemetni6"/>
    <w:rPr>
      <w:rFonts w:ascii="Times New Roman" w:eastAsia="Times New Roman" w:hAnsi="Times New Roman" w:cs="Times New Roman"/>
      <w:b/>
      <w:bCs/>
      <w:i/>
      <w:iCs/>
      <w:smallCaps w:val="0"/>
      <w:strike w:val="0"/>
      <w:color w:val="000000"/>
      <w:spacing w:val="0"/>
      <w:w w:val="100"/>
      <w:position w:val="0"/>
      <w:sz w:val="23"/>
      <w:szCs w:val="23"/>
      <w:u w:val="single"/>
      <w:lang w:val="tr-TR" w:eastAsia="tr-TR" w:bidi="tr-TR"/>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3"/>
      <w:szCs w:val="23"/>
      <w:u w:val="none"/>
    </w:rPr>
  </w:style>
  <w:style w:type="character" w:customStyle="1" w:styleId="Gvdemetni2115ptKaln">
    <w:name w:val="Gövde metni (2) + 11;5 pt;Kalın"/>
    <w:basedOn w:val="Gvdemetni2"/>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Balk211ptKalnDeil">
    <w:name w:val="Başlık #2 + 11 pt;Kalın Değil"/>
    <w:basedOn w:val="Balk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Balk21">
    <w:name w:val="Başlık #2"/>
    <w:basedOn w:val="Balk2"/>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paragraph" w:customStyle="1" w:styleId="Dipnot0">
    <w:name w:val="Dipnot"/>
    <w:basedOn w:val="Normal"/>
    <w:link w:val="Dipnot"/>
    <w:pPr>
      <w:shd w:val="clear" w:color="auto" w:fill="FFFFFF"/>
      <w:spacing w:line="244" w:lineRule="exact"/>
    </w:pPr>
    <w:rPr>
      <w:rFonts w:ascii="Times New Roman" w:eastAsia="Times New Roman" w:hAnsi="Times New Roman" w:cs="Times New Roman"/>
      <w:sz w:val="22"/>
      <w:szCs w:val="22"/>
    </w:rPr>
  </w:style>
  <w:style w:type="paragraph" w:customStyle="1" w:styleId="Gvdemetni30">
    <w:name w:val="Gövde metni (3)"/>
    <w:basedOn w:val="Normal"/>
    <w:link w:val="Gvdemetni3"/>
    <w:pPr>
      <w:shd w:val="clear" w:color="auto" w:fill="FFFFFF"/>
      <w:spacing w:line="365" w:lineRule="exact"/>
      <w:jc w:val="center"/>
    </w:pPr>
    <w:rPr>
      <w:rFonts w:ascii="Times New Roman" w:eastAsia="Times New Roman" w:hAnsi="Times New Roman" w:cs="Times New Roman"/>
      <w:b/>
      <w:bCs/>
      <w:sz w:val="32"/>
      <w:szCs w:val="32"/>
    </w:rPr>
  </w:style>
  <w:style w:type="paragraph" w:customStyle="1" w:styleId="Gvdemetni40">
    <w:name w:val="Gövde metni (4)"/>
    <w:basedOn w:val="Normal"/>
    <w:link w:val="Gvdemetni4"/>
    <w:pPr>
      <w:shd w:val="clear" w:color="auto" w:fill="FFFFFF"/>
      <w:spacing w:before="4080" w:line="490" w:lineRule="exact"/>
      <w:jc w:val="center"/>
    </w:pPr>
    <w:rPr>
      <w:rFonts w:ascii="Times New Roman" w:eastAsia="Times New Roman" w:hAnsi="Times New Roman" w:cs="Times New Roman"/>
      <w:b/>
      <w:bCs/>
      <w:sz w:val="40"/>
      <w:szCs w:val="40"/>
    </w:rPr>
  </w:style>
  <w:style w:type="paragraph" w:customStyle="1" w:styleId="Gvdemetni20">
    <w:name w:val="Gövde metni (2)"/>
    <w:basedOn w:val="Normal"/>
    <w:link w:val="Gvdemetni2"/>
    <w:pPr>
      <w:shd w:val="clear" w:color="auto" w:fill="FFFFFF"/>
      <w:spacing w:line="547" w:lineRule="exact"/>
      <w:ind w:hanging="780"/>
      <w:jc w:val="both"/>
    </w:pPr>
    <w:rPr>
      <w:rFonts w:ascii="Times New Roman" w:eastAsia="Times New Roman" w:hAnsi="Times New Roman" w:cs="Times New Roman"/>
      <w:sz w:val="22"/>
      <w:szCs w:val="22"/>
    </w:rPr>
  </w:style>
  <w:style w:type="paragraph" w:customStyle="1" w:styleId="Balk10">
    <w:name w:val="Başlık #1"/>
    <w:basedOn w:val="Normal"/>
    <w:link w:val="Balk1"/>
    <w:pPr>
      <w:shd w:val="clear" w:color="auto" w:fill="FFFFFF"/>
      <w:spacing w:after="320" w:line="310" w:lineRule="exact"/>
      <w:jc w:val="both"/>
      <w:outlineLvl w:val="0"/>
    </w:pPr>
    <w:rPr>
      <w:rFonts w:ascii="Times New Roman" w:eastAsia="Times New Roman" w:hAnsi="Times New Roman" w:cs="Times New Roman"/>
      <w:b/>
      <w:bCs/>
      <w:sz w:val="28"/>
      <w:szCs w:val="28"/>
    </w:rPr>
  </w:style>
  <w:style w:type="paragraph" w:customStyle="1" w:styleId="indekiler0">
    <w:name w:val="İçindekiler"/>
    <w:basedOn w:val="Normal"/>
    <w:link w:val="indekiler"/>
    <w:pPr>
      <w:shd w:val="clear" w:color="auto" w:fill="FFFFFF"/>
      <w:spacing w:before="320" w:line="514" w:lineRule="exact"/>
      <w:jc w:val="both"/>
    </w:pPr>
    <w:rPr>
      <w:rFonts w:ascii="Times New Roman" w:eastAsia="Times New Roman" w:hAnsi="Times New Roman" w:cs="Times New Roman"/>
      <w:sz w:val="22"/>
      <w:szCs w:val="22"/>
    </w:rPr>
  </w:style>
  <w:style w:type="paragraph" w:customStyle="1" w:styleId="Gvdemetni50">
    <w:name w:val="Gövde metni (5)"/>
    <w:basedOn w:val="Normal"/>
    <w:link w:val="Gvdemetni5"/>
    <w:pPr>
      <w:shd w:val="clear" w:color="auto" w:fill="FFFFFF"/>
      <w:spacing w:after="320" w:line="254" w:lineRule="exact"/>
      <w:jc w:val="both"/>
    </w:pPr>
    <w:rPr>
      <w:rFonts w:ascii="Times New Roman" w:eastAsia="Times New Roman" w:hAnsi="Times New Roman" w:cs="Times New Roman"/>
      <w:b/>
      <w:bCs/>
      <w:sz w:val="23"/>
      <w:szCs w:val="23"/>
    </w:rPr>
  </w:style>
  <w:style w:type="paragraph" w:customStyle="1" w:styleId="Gvdemetni60">
    <w:name w:val="Gövde metni (6)"/>
    <w:basedOn w:val="Normal"/>
    <w:link w:val="Gvdemetni6"/>
    <w:pPr>
      <w:shd w:val="clear" w:color="auto" w:fill="FFFFFF"/>
      <w:spacing w:before="320" w:after="240" w:line="274" w:lineRule="exact"/>
      <w:jc w:val="both"/>
    </w:pPr>
    <w:rPr>
      <w:rFonts w:ascii="Times New Roman" w:eastAsia="Times New Roman" w:hAnsi="Times New Roman" w:cs="Times New Roman"/>
      <w:i/>
      <w:iCs/>
      <w:sz w:val="22"/>
      <w:szCs w:val="22"/>
    </w:rPr>
  </w:style>
  <w:style w:type="paragraph" w:customStyle="1" w:styleId="Balk20">
    <w:name w:val="Başlık #2"/>
    <w:basedOn w:val="Normal"/>
    <w:link w:val="Balk2"/>
    <w:pPr>
      <w:shd w:val="clear" w:color="auto" w:fill="FFFFFF"/>
      <w:spacing w:before="620" w:after="120" w:line="254" w:lineRule="exact"/>
      <w:jc w:val="both"/>
      <w:outlineLvl w:val="1"/>
    </w:pPr>
    <w:rPr>
      <w:rFonts w:ascii="Times New Roman" w:eastAsia="Times New Roman" w:hAnsi="Times New Roman" w:cs="Times New Roman"/>
      <w:b/>
      <w:bCs/>
      <w:sz w:val="23"/>
      <w:szCs w:val="23"/>
    </w:rPr>
  </w:style>
  <w:style w:type="paragraph" w:styleId="stBilgi">
    <w:name w:val="header"/>
    <w:basedOn w:val="Normal"/>
    <w:link w:val="stBilgiChar"/>
    <w:uiPriority w:val="99"/>
    <w:unhideWhenUsed/>
    <w:rsid w:val="0065560F"/>
    <w:pPr>
      <w:tabs>
        <w:tab w:val="center" w:pos="4536"/>
        <w:tab w:val="right" w:pos="9072"/>
      </w:tabs>
    </w:pPr>
  </w:style>
  <w:style w:type="character" w:customStyle="1" w:styleId="stBilgiChar">
    <w:name w:val="Üst Bilgi Char"/>
    <w:basedOn w:val="VarsaylanParagrafYazTipi"/>
    <w:link w:val="stBilgi"/>
    <w:uiPriority w:val="99"/>
    <w:rsid w:val="0065560F"/>
    <w:rPr>
      <w:color w:val="000000"/>
    </w:rPr>
  </w:style>
  <w:style w:type="paragraph" w:styleId="AltBilgi">
    <w:name w:val="footer"/>
    <w:basedOn w:val="Normal"/>
    <w:link w:val="AltBilgiChar"/>
    <w:uiPriority w:val="99"/>
    <w:unhideWhenUsed/>
    <w:rsid w:val="0065560F"/>
    <w:pPr>
      <w:tabs>
        <w:tab w:val="center" w:pos="4536"/>
        <w:tab w:val="right" w:pos="9072"/>
      </w:tabs>
    </w:pPr>
  </w:style>
  <w:style w:type="character" w:customStyle="1" w:styleId="AltBilgiChar">
    <w:name w:val="Alt Bilgi Char"/>
    <w:basedOn w:val="VarsaylanParagrafYazTipi"/>
    <w:link w:val="AltBilgi"/>
    <w:uiPriority w:val="99"/>
    <w:rsid w:val="0065560F"/>
    <w:rPr>
      <w:color w:val="000000"/>
    </w:rPr>
  </w:style>
  <w:style w:type="paragraph" w:styleId="DipnotMetni">
    <w:name w:val="footnote text"/>
    <w:basedOn w:val="Normal"/>
    <w:link w:val="DipnotMetniChar"/>
    <w:uiPriority w:val="99"/>
    <w:semiHidden/>
    <w:unhideWhenUsed/>
    <w:rsid w:val="00544074"/>
    <w:rPr>
      <w:sz w:val="20"/>
      <w:szCs w:val="20"/>
    </w:rPr>
  </w:style>
  <w:style w:type="character" w:customStyle="1" w:styleId="DipnotMetniChar">
    <w:name w:val="Dipnot Metni Char"/>
    <w:basedOn w:val="VarsaylanParagrafYazTipi"/>
    <w:link w:val="DipnotMetni"/>
    <w:uiPriority w:val="99"/>
    <w:semiHidden/>
    <w:rsid w:val="00544074"/>
    <w:rPr>
      <w:color w:val="000000"/>
      <w:sz w:val="20"/>
      <w:szCs w:val="20"/>
    </w:rPr>
  </w:style>
  <w:style w:type="paragraph" w:styleId="BalonMetni">
    <w:name w:val="Balloon Text"/>
    <w:basedOn w:val="Normal"/>
    <w:link w:val="BalonMetniChar"/>
    <w:uiPriority w:val="99"/>
    <w:semiHidden/>
    <w:unhideWhenUsed/>
    <w:rsid w:val="00EB422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422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1170</Words>
  <Characters>6669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ÇAKMAK</dc:creator>
  <cp:keywords/>
  <cp:lastModifiedBy>Bora ÇAKMAK</cp:lastModifiedBy>
  <cp:revision>4</cp:revision>
  <dcterms:created xsi:type="dcterms:W3CDTF">2020-12-30T14:38:00Z</dcterms:created>
  <dcterms:modified xsi:type="dcterms:W3CDTF">2020-12-31T15:24:00Z</dcterms:modified>
</cp:coreProperties>
</file>